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8D7736" w:rsidR="001E10AB" w:rsidP="2E557A13" w:rsidRDefault="03E6BA8A" w14:paraId="4EF4D498" w14:textId="450FDF78">
      <w:pPr>
        <w:pStyle w:val="Titre1"/>
        <w:tabs>
          <w:tab w:val="num" w:pos="720"/>
        </w:tabs>
        <w:rPr>
          <w:rFonts w:ascii="Calibri Light" w:hAnsi="Calibri Light" w:eastAsia="Yu Gothic Light" w:cs="Times New Roman"/>
          <w:b/>
          <w:bCs/>
        </w:rPr>
      </w:pPr>
      <w:r>
        <w:rPr>
          <w:lang w:val="fr"/>
        </w:rPr>
        <w:t>Notes pour le débriefing : Des standards, pour quoi faire ?</w:t>
      </w:r>
    </w:p>
    <w:p w:rsidR="2E557A13" w:rsidP="2E557A13" w:rsidRDefault="2E557A13" w14:paraId="1825E99E" w14:textId="38FCAE8B">
      <w:pPr>
        <w:tabs>
          <w:tab w:val="num" w:pos="720"/>
        </w:tabs>
        <w:rPr>
          <w:rFonts w:ascii="Calibri" w:hAnsi="Calibri" w:eastAsia="Calibri" w:cs="Arial"/>
        </w:rPr>
      </w:pPr>
    </w:p>
    <w:p w:rsidRPr="008D7736" w:rsidR="001E10AB" w:rsidP="001E10AB" w:rsidRDefault="001E10AB" w14:paraId="218CA8CE" w14:textId="47F25217">
      <w:pPr>
        <w:numPr>
          <w:ilvl w:val="0"/>
          <w:numId w:val="1"/>
        </w:numPr>
      </w:pPr>
      <w:r>
        <w:rPr>
          <w:b/>
          <w:bCs/>
          <w:lang w:val="fr"/>
        </w:rPr>
        <w:t>La coordination :</w:t>
      </w:r>
      <w:r>
        <w:rPr>
          <w:lang w:val="fr"/>
        </w:rPr>
        <w:t xml:space="preserve"> Plusieurs personnes et organisations qui utilisent une même série de standards partagent un langage commun et des objectifs communs.</w:t>
      </w:r>
    </w:p>
    <w:p w:rsidRPr="008D7736" w:rsidR="001E10AB" w:rsidP="001E10AB" w:rsidRDefault="0010764A" w14:paraId="2C34BBA8" w14:textId="3DFD79E6">
      <w:pPr>
        <w:ind w:left="720"/>
      </w:pPr>
      <w:r>
        <w:rPr>
          <w:lang w:val="fr"/>
        </w:rPr>
        <w:t>Il existe plusieurs séries de standards, et la plupart sont plus stricts que les standards « minimums » de Sphère. Mais même lorsqu’ils disposent de leurs propres standards, les gouvernements et autres agences se tournent vers Sphère parce que c’est ce qu’utilisent leurs partenaires et parce que</w:t>
      </w:r>
      <w:r w:rsidR="00EE76B6">
        <w:rPr>
          <w:lang w:val="fr"/>
        </w:rPr>
        <w:t>,</w:t>
      </w:r>
      <w:r>
        <w:rPr>
          <w:lang w:val="fr"/>
        </w:rPr>
        <w:t xml:space="preserve"> </w:t>
      </w:r>
      <w:r w:rsidR="00EE76B6">
        <w:rPr>
          <w:lang w:val="fr"/>
        </w:rPr>
        <w:t>dans une situation post-catastrophe ou de crise aigüe</w:t>
      </w:r>
      <w:r w:rsidR="00EE76B6">
        <w:rPr>
          <w:lang w:val="fr"/>
        </w:rPr>
        <w:t xml:space="preserve">, </w:t>
      </w:r>
      <w:r>
        <w:rPr>
          <w:lang w:val="fr"/>
        </w:rPr>
        <w:t>les standards de Sphère sont peut-être plus atteignables que les leurs.</w:t>
      </w:r>
    </w:p>
    <w:p w:rsidRPr="008D7736" w:rsidR="001E10AB" w:rsidP="00EE76B6" w:rsidRDefault="001E10AB" w14:paraId="775A298A" w14:textId="2B118137">
      <w:pPr>
        <w:numPr>
          <w:ilvl w:val="0"/>
          <w:numId w:val="1"/>
        </w:numPr>
        <w:rPr/>
      </w:pPr>
      <w:r w:rsidRPr="35A34EE8" w:rsidR="001E10AB">
        <w:rPr>
          <w:lang w:val="fr"/>
        </w:rPr>
        <w:t>L’</w:t>
      </w:r>
      <w:r w:rsidRPr="35A34EE8" w:rsidR="001E10AB">
        <w:rPr>
          <w:b w:val="1"/>
          <w:bCs w:val="1"/>
          <w:lang w:val="fr"/>
        </w:rPr>
        <w:t>estimation</w:t>
      </w:r>
      <w:r w:rsidRPr="35A34EE8" w:rsidR="001E10AB">
        <w:rPr>
          <w:lang w:val="fr"/>
        </w:rPr>
        <w:t xml:space="preserve">, le </w:t>
      </w:r>
      <w:r w:rsidRPr="35A34EE8" w:rsidR="001E10AB">
        <w:rPr>
          <w:b w:val="1"/>
          <w:bCs w:val="1"/>
          <w:lang w:val="fr"/>
        </w:rPr>
        <w:t>suivi</w:t>
      </w:r>
      <w:r w:rsidRPr="35A34EE8" w:rsidR="001E10AB">
        <w:rPr>
          <w:lang w:val="fr"/>
        </w:rPr>
        <w:t xml:space="preserve"> et l’</w:t>
      </w:r>
      <w:r w:rsidRPr="35A34EE8" w:rsidR="001E10AB">
        <w:rPr>
          <w:b w:val="1"/>
          <w:bCs w:val="1"/>
          <w:lang w:val="fr"/>
        </w:rPr>
        <w:t>évaluation</w:t>
      </w:r>
      <w:r w:rsidRPr="35A34EE8" w:rsidR="001E10AB">
        <w:rPr>
          <w:lang w:val="fr"/>
        </w:rPr>
        <w:t> :</w:t>
      </w:r>
      <w:r w:rsidRPr="35A34EE8" w:rsidR="001E10AB">
        <w:rPr>
          <w:b w:val="1"/>
          <w:bCs w:val="1"/>
          <w:lang w:val="fr"/>
        </w:rPr>
        <w:t xml:space="preserve"> </w:t>
      </w:r>
      <w:r w:rsidRPr="35A34EE8" w:rsidR="001E10AB">
        <w:rPr>
          <w:lang w:val="fr"/>
        </w:rPr>
        <w:t>Le manuel Sphère (particulièrement ses indicateurs clés et listes de vérification) peut servir à éclairer différents types d’estimations</w:t>
      </w:r>
      <w:r w:rsidRPr="35A34EE8" w:rsidR="00DE7667">
        <w:rPr>
          <w:lang w:val="fr"/>
        </w:rPr>
        <w:t xml:space="preserve">, </w:t>
      </w:r>
      <w:r w:rsidRPr="35A34EE8" w:rsidR="001E10AB">
        <w:rPr>
          <w:lang w:val="fr"/>
        </w:rPr>
        <w:t>de suivi</w:t>
      </w:r>
      <w:r w:rsidRPr="35A34EE8" w:rsidR="00DE7667">
        <w:rPr>
          <w:lang w:val="fr"/>
        </w:rPr>
        <w:t>s et d’</w:t>
      </w:r>
      <w:r w:rsidRPr="35A34EE8" w:rsidR="001E10AB">
        <w:rPr>
          <w:lang w:val="fr"/>
        </w:rPr>
        <w:t>évaluation</w:t>
      </w:r>
      <w:r w:rsidRPr="35A34EE8" w:rsidR="00DE7667">
        <w:rPr>
          <w:lang w:val="fr"/>
        </w:rPr>
        <w:t>s</w:t>
      </w:r>
      <w:r w:rsidRPr="35A34EE8" w:rsidR="001E10AB">
        <w:rPr>
          <w:lang w:val="fr"/>
        </w:rPr>
        <w:t xml:space="preserve">. Consultez le guide </w:t>
      </w:r>
      <w:commentRangeStart w:id="0"/>
      <w:commentRangeStart w:id="1481942442"/>
      <w:r>
        <w:fldChar w:fldCharType="begin"/>
      </w:r>
      <w:r>
        <w:instrText xml:space="preserve"> HYPERLINK "https://spherestandards.org/fr/resources/sphere-en-contexte-et-pour-lestimation-le-suivi-levaluation-et-lapprentissage/" </w:instrText>
      </w:r>
      <w:r>
        <w:fldChar w:fldCharType="separate"/>
      </w:r>
      <w:r w:rsidRPr="35A34EE8" w:rsidR="001E10AB">
        <w:rPr>
          <w:rStyle w:val="Lienhypertexte"/>
          <w:lang w:val="fr"/>
        </w:rPr>
        <w:t>Sphère en contexte et pour l’estimation, le suivi, l’évaluation et l’apprentissage</w:t>
      </w:r>
      <w:r w:rsidRPr="35A34EE8">
        <w:rPr>
          <w:rStyle w:val="Lienhypertexte"/>
          <w:lang w:val="fr"/>
        </w:rPr>
        <w:fldChar w:fldCharType="end"/>
      </w:r>
      <w:commentRangeEnd w:id="0"/>
      <w:r>
        <w:rPr>
          <w:rStyle w:val="CommentReference"/>
        </w:rPr>
        <w:commentReference w:id="0"/>
      </w:r>
      <w:commentRangeEnd w:id="1481942442"/>
      <w:r>
        <w:rPr>
          <w:rStyle w:val="CommentReference"/>
        </w:rPr>
        <w:commentReference w:id="1481942442"/>
      </w:r>
      <w:r w:rsidRPr="35A34EE8" w:rsidR="001E10AB">
        <w:rPr>
          <w:lang w:val="fr"/>
        </w:rPr>
        <w:t xml:space="preserve"> pour obtenir de plus amples informations.</w:t>
      </w:r>
    </w:p>
    <w:p w:rsidRPr="008D7736" w:rsidR="001E10AB" w:rsidP="001E10AB" w:rsidRDefault="001E10AB" w14:paraId="58F898F4" w14:textId="675A3D01">
      <w:pPr>
        <w:numPr>
          <w:ilvl w:val="0"/>
          <w:numId w:val="1"/>
        </w:numPr>
      </w:pPr>
      <w:r>
        <w:rPr>
          <w:lang w:val="fr"/>
        </w:rPr>
        <w:t xml:space="preserve">La </w:t>
      </w:r>
      <w:r>
        <w:rPr>
          <w:b/>
          <w:bCs/>
          <w:lang w:val="fr"/>
        </w:rPr>
        <w:t>qualité</w:t>
      </w:r>
      <w:r>
        <w:rPr>
          <w:lang w:val="fr"/>
        </w:rPr>
        <w:t xml:space="preserve"> de l’aide apportée. Les standards aident à définir la qualité. Les standards définissent les conditions minimums d’une vie dans la dignité, et donc les résultats minimums souhaités d’une intervention humanitaire. La CHS peut servir à mesurer la qualité et la redevabilité d’une organisation humanitaire et de ses programmes.</w:t>
      </w:r>
    </w:p>
    <w:p w:rsidRPr="008D7736" w:rsidR="000156F0" w:rsidP="000156F0" w:rsidRDefault="000156F0" w14:paraId="5356D1EA" w14:textId="43784481">
      <w:pPr>
        <w:numPr>
          <w:ilvl w:val="0"/>
          <w:numId w:val="1"/>
        </w:numPr>
      </w:pPr>
      <w:r>
        <w:rPr>
          <w:lang w:val="fr"/>
        </w:rPr>
        <w:t>L’</w:t>
      </w:r>
      <w:r>
        <w:rPr>
          <w:b/>
          <w:bCs/>
          <w:lang w:val="fr"/>
        </w:rPr>
        <w:t>efficacité</w:t>
      </w:r>
      <w:r>
        <w:rPr>
          <w:lang w:val="fr"/>
        </w:rPr>
        <w:t xml:space="preserve"> (un des aspects de la qualité) : Les standards Sphère sont décidés d’un commun accord, au préalable, et sont concis. Sans standards, la </w:t>
      </w:r>
      <w:r>
        <w:rPr>
          <w:b/>
          <w:bCs/>
          <w:lang w:val="fr"/>
        </w:rPr>
        <w:t>planification</w:t>
      </w:r>
      <w:r>
        <w:rPr>
          <w:lang w:val="fr"/>
        </w:rPr>
        <w:t xml:space="preserve"> des programmes serait très chronophage</w:t>
      </w:r>
      <w:r w:rsidR="00EE76B6">
        <w:rPr>
          <w:lang w:val="fr"/>
        </w:rPr>
        <w:t>,</w:t>
      </w:r>
      <w:r>
        <w:rPr>
          <w:lang w:val="fr"/>
        </w:rPr>
        <w:t xml:space="preserve"> car les informations que contient le manuel sont la synthèse de centaines de ressources différentes.</w:t>
      </w:r>
    </w:p>
    <w:p w:rsidRPr="008D7736" w:rsidR="001E10AB" w:rsidP="3CE24420" w:rsidRDefault="001E10AB" w14:paraId="5410B25D" w14:textId="6A3065F4">
      <w:pPr>
        <w:numPr>
          <w:ilvl w:val="0"/>
          <w:numId w:val="1"/>
        </w:numPr>
        <w:rPr>
          <w:rFonts w:eastAsiaTheme="minorEastAsia"/>
        </w:rPr>
      </w:pPr>
      <w:r>
        <w:rPr>
          <w:lang w:val="fr"/>
        </w:rPr>
        <w:t xml:space="preserve">La </w:t>
      </w:r>
      <w:r>
        <w:rPr>
          <w:b/>
          <w:bCs/>
          <w:lang w:val="fr"/>
        </w:rPr>
        <w:t>professionnalisation</w:t>
      </w:r>
      <w:r>
        <w:rPr>
          <w:lang w:val="fr"/>
        </w:rPr>
        <w:t xml:space="preserve"> du secteur : Les organes professionnels ont des standards. Dès les années 1980 et 1990, avant même que l’Évaluation conjointe de l’aide d’urgence au Rwanda (ECAUR) ne souligne le manque de professionnalisme, les acteur-trices humanitaires avaient identifié la nécessité de disposer d’un ensemble de standards humanitaires. Des standards régulièrement mis à jour tiennent compte des nouvelles connaissances et de l’expertise</w:t>
      </w:r>
      <w:r w:rsidR="005E1C47">
        <w:rPr>
          <w:lang w:val="fr"/>
        </w:rPr>
        <w:t xml:space="preserve"> accumulée</w:t>
      </w:r>
      <w:r>
        <w:rPr>
          <w:lang w:val="fr"/>
        </w:rPr>
        <w:t>, et permettent au secteur tout entier d’</w:t>
      </w:r>
      <w:r>
        <w:rPr>
          <w:b/>
          <w:bCs/>
          <w:lang w:val="fr"/>
        </w:rPr>
        <w:t>apprendre</w:t>
      </w:r>
      <w:r>
        <w:rPr>
          <w:lang w:val="fr"/>
        </w:rPr>
        <w:t>.</w:t>
      </w:r>
    </w:p>
    <w:p w:rsidRPr="008D7736" w:rsidR="00312A76" w:rsidP="005A0D27" w:rsidRDefault="001E10AB" w14:paraId="0268F76A" w14:textId="576E5683">
      <w:pPr>
        <w:numPr>
          <w:ilvl w:val="0"/>
          <w:numId w:val="1"/>
        </w:numPr>
      </w:pPr>
      <w:r>
        <w:rPr>
          <w:lang w:val="fr"/>
        </w:rPr>
        <w:t xml:space="preserve">Le </w:t>
      </w:r>
      <w:r>
        <w:rPr>
          <w:b/>
          <w:bCs/>
          <w:lang w:val="fr"/>
        </w:rPr>
        <w:t>plaidoyer :</w:t>
      </w:r>
      <w:r>
        <w:rPr>
          <w:lang w:val="fr"/>
        </w:rPr>
        <w:t xml:space="preserve"> « Notre rôle d’assistance met en évidence une réalité : ceux qui sont investis au premier chef de cette responsabilité ne sont pas toujours totalement en mesure d’assumer ce rôle eux-mêmes, ou ne souhaitent pas l’assumer</w:t>
      </w:r>
      <w:r w:rsidR="005A0D27">
        <w:rPr>
          <w:lang w:val="fr"/>
        </w:rPr>
        <w:t>.</w:t>
      </w:r>
      <w:r>
        <w:rPr>
          <w:lang w:val="fr"/>
        </w:rPr>
        <w:t xml:space="preserve"> » (extrait du </w:t>
      </w:r>
      <w:hyperlink w:history="1" w:anchor="ch003_001_002" r:id="rId14">
        <w:r>
          <w:rPr>
            <w:rStyle w:val="Lienhypertexte"/>
            <w:lang w:val="fr"/>
          </w:rPr>
          <w:t>paragraphe 3 de la Charte humanitaire</w:t>
        </w:r>
      </w:hyperlink>
      <w:r>
        <w:rPr>
          <w:lang w:val="fr"/>
        </w:rPr>
        <w:t xml:space="preserve">) </w:t>
      </w:r>
      <w:r w:rsidR="005A0D27">
        <w:rPr>
          <w:lang w:val="fr"/>
        </w:rPr>
        <w:t>Cette</w:t>
      </w:r>
      <w:r w:rsidRPr="005A0D27">
        <w:rPr>
          <w:lang w:val="fr"/>
        </w:rPr>
        <w:t xml:space="preserve"> responsabilité incombe principalement au gouvernement, mais à défaut, à </w:t>
      </w:r>
      <w:r w:rsidR="005A0D27">
        <w:rPr>
          <w:lang w:val="fr"/>
        </w:rPr>
        <w:t>toute personne en charge</w:t>
      </w:r>
      <w:r w:rsidRPr="005A0D27">
        <w:rPr>
          <w:lang w:val="fr"/>
        </w:rPr>
        <w:t> : une autorité locale, un-</w:t>
      </w:r>
      <w:r w:rsidRPr="005A0D27" w:rsidR="00EE76B6">
        <w:rPr>
          <w:lang w:val="fr"/>
        </w:rPr>
        <w:t>e</w:t>
      </w:r>
      <w:r w:rsidRPr="005A0D27">
        <w:rPr>
          <w:lang w:val="fr"/>
        </w:rPr>
        <w:t xml:space="preserve"> leader communautaire, un groupe armé, voire la mafia.</w:t>
      </w:r>
    </w:p>
    <w:p w:rsidR="00312A76" w:rsidP="00312A76" w:rsidRDefault="00312A76" w14:paraId="5CE7922C" w14:textId="09E9893E">
      <w:pPr>
        <w:ind w:left="720"/>
        <w:rPr>
          <w:lang w:val="fr"/>
        </w:rPr>
      </w:pPr>
      <w:r>
        <w:rPr>
          <w:lang w:val="fr"/>
        </w:rPr>
        <w:t>Le rôle clé des acteur-trices humanitaires est de défendre les droits des populations affectées et d’inciter les personnes au pouvoir à assumer leurs responsabilités. Si certaines organisations sont spécialisées dans le plaidoyer, tou-tes les acteur-trices humanitaires en font.</w:t>
      </w:r>
    </w:p>
    <w:p w:rsidRPr="00DE7667" w:rsidR="00DE7667" w:rsidP="00DE7667" w:rsidRDefault="00DE7667" w14:paraId="570A9041" w14:textId="60FED74F">
      <w:pPr>
        <w:ind w:left="720"/>
        <w:rPr>
          <w:i/>
          <w:iCs/>
        </w:rPr>
      </w:pPr>
      <w:r>
        <w:rPr>
          <w:i/>
          <w:iCs/>
          <w:lang w:val="fr"/>
        </w:rPr>
        <w:t>(suite sur la page suivante...)</w:t>
      </w:r>
    </w:p>
    <w:p w:rsidRPr="008D7736" w:rsidR="001E10AB" w:rsidP="00312A76" w:rsidRDefault="001E10AB" w14:paraId="1F977EF1" w14:textId="229A9998">
      <w:pPr>
        <w:ind w:left="720"/>
      </w:pPr>
      <w:r>
        <w:rPr>
          <w:lang w:val="fr"/>
        </w:rPr>
        <w:lastRenderedPageBreak/>
        <w:t>Les standards énoncent les conditions – minimales – à remplir par la personne responsable, et peuvent dès lors servir à quantifier les écarts entre ce qui est, et ce qui devrait être. Ceci fonctionne d’autant mieux si le gouvernement reconnaît Sphère – plusieurs le font.</w:t>
      </w:r>
    </w:p>
    <w:p w:rsidRPr="008D7736" w:rsidR="0098619C" w:rsidP="00312A76" w:rsidRDefault="0098619C" w14:paraId="3483030A" w14:textId="651286B0">
      <w:pPr>
        <w:ind w:left="720"/>
      </w:pPr>
      <w:r>
        <w:rPr>
          <w:lang w:val="fr"/>
        </w:rPr>
        <w:t xml:space="preserve">Le plaidoyer en faveur de l’utilisation des standards Sphère est l’une des principales activités des points focaux Sphère. De plus amples informations à ce propos sont disponibles sur la page suivante : </w:t>
      </w:r>
      <w:hyperlink w:history="1" r:id="rId15">
        <w:r>
          <w:rPr>
            <w:rStyle w:val="Lienhypertexte"/>
            <w:lang w:val="fr"/>
          </w:rPr>
          <w:t>https://spherestandards.org/fr/resources/?category=ndmas-fr</w:t>
        </w:r>
      </w:hyperlink>
    </w:p>
    <w:p w:rsidRPr="008D7736" w:rsidR="00AF0904" w:rsidP="00312A76" w:rsidRDefault="00AF0904" w14:paraId="5147A1B3" w14:textId="5F42CCD0">
      <w:pPr>
        <w:ind w:left="720"/>
      </w:pPr>
      <w:r>
        <w:rPr>
          <w:lang w:val="fr"/>
        </w:rPr>
        <w:t xml:space="preserve">Toute personne peut plaider en faveur d’une augmentation de l’utilisation des standards Sphère parmi ses partenaires. Le cours en ligne </w:t>
      </w:r>
      <w:r>
        <w:rPr>
          <w:i/>
          <w:iCs/>
          <w:lang w:val="fr"/>
        </w:rPr>
        <w:t>Comment devenir promoteur de Sphère</w:t>
      </w:r>
      <w:r>
        <w:rPr>
          <w:lang w:val="fr"/>
        </w:rPr>
        <w:t xml:space="preserve"> explique comment procéder : </w:t>
      </w:r>
      <w:hyperlink w:history="1" r:id="rId16">
        <w:r>
          <w:rPr>
            <w:rStyle w:val="Lienhypertexte"/>
            <w:lang w:val="fr"/>
          </w:rPr>
          <w:t>https://learning.spherestandards.org/?lang=french</w:t>
        </w:r>
      </w:hyperlink>
      <w:r>
        <w:rPr>
          <w:lang w:val="fr"/>
        </w:rPr>
        <w:t>.</w:t>
      </w:r>
    </w:p>
    <w:p w:rsidRPr="008D7736" w:rsidR="003E4AD3" w:rsidP="003E4AD3" w:rsidRDefault="003E4AD3" w14:paraId="032D3069" w14:textId="51A205D9">
      <w:pPr>
        <w:numPr>
          <w:ilvl w:val="0"/>
          <w:numId w:val="1"/>
        </w:numPr>
      </w:pPr>
      <w:r>
        <w:rPr>
          <w:lang w:val="fr"/>
        </w:rPr>
        <w:t>La</w:t>
      </w:r>
      <w:r>
        <w:rPr>
          <w:b/>
          <w:bCs/>
          <w:lang w:val="fr"/>
        </w:rPr>
        <w:t xml:space="preserve"> prévisibilité </w:t>
      </w:r>
      <w:r>
        <w:rPr>
          <w:lang w:val="fr"/>
        </w:rPr>
        <w:t xml:space="preserve">et la </w:t>
      </w:r>
      <w:r>
        <w:rPr>
          <w:b/>
          <w:bCs/>
          <w:lang w:val="fr"/>
        </w:rPr>
        <w:t>cohérence :</w:t>
      </w:r>
      <w:r>
        <w:rPr>
          <w:lang w:val="fr"/>
        </w:rPr>
        <w:t xml:space="preserve"> Une organisation qui adhère aux principes et standards de Sphère doit se comporter de manière cohérente et prévisible, afin de faciliter la coopération.</w:t>
      </w:r>
    </w:p>
    <w:p w:rsidRPr="008D7736" w:rsidR="000156F0" w:rsidP="001E10AB" w:rsidRDefault="001E10AB" w14:paraId="433CAE1E" w14:textId="0750B717">
      <w:pPr>
        <w:numPr>
          <w:ilvl w:val="0"/>
          <w:numId w:val="1"/>
        </w:numPr>
        <w:rPr/>
      </w:pPr>
      <w:r w:rsidRPr="35A34EE8" w:rsidR="001E10AB">
        <w:rPr>
          <w:lang w:val="fr"/>
        </w:rPr>
        <w:t xml:space="preserve">La </w:t>
      </w:r>
      <w:r w:rsidRPr="35A34EE8" w:rsidR="001E10AB">
        <w:rPr>
          <w:b w:val="1"/>
          <w:bCs w:val="1"/>
          <w:lang w:val="fr"/>
        </w:rPr>
        <w:t>redevabilité</w:t>
      </w:r>
      <w:r w:rsidRPr="35A34EE8" w:rsidR="001E10AB">
        <w:rPr>
          <w:lang w:val="fr"/>
        </w:rPr>
        <w:t xml:space="preserve"> en matière de ressources et envers les personnes : Ceci est très important, et la « redevabilité » </w:t>
      </w:r>
      <w:r w:rsidRPr="35A34EE8" w:rsidR="00104E96">
        <w:rPr>
          <w:lang w:val="fr"/>
        </w:rPr>
        <w:t xml:space="preserve">devra être précisément </w:t>
      </w:r>
      <w:r w:rsidRPr="35A34EE8" w:rsidR="001E10AB">
        <w:rPr>
          <w:lang w:val="fr"/>
        </w:rPr>
        <w:t xml:space="preserve">définie dans le cadre d’une autre activité (telle que </w:t>
      </w:r>
      <w:r w:rsidRPr="35A34EE8" w:rsidR="00104E96">
        <w:rPr>
          <w:lang w:val="fr"/>
        </w:rPr>
        <w:t>l’</w:t>
      </w:r>
      <w:r w:rsidRPr="35A34EE8" w:rsidR="001E10AB">
        <w:rPr>
          <w:i w:val="1"/>
          <w:iCs w:val="1"/>
          <w:lang w:val="fr"/>
        </w:rPr>
        <w:t xml:space="preserve">activité 2.3 : Pouvez-vous définir des termes clés essentiels </w:t>
      </w:r>
      <w:r w:rsidRPr="35A34EE8" w:rsidR="001E10AB">
        <w:rPr>
          <w:i w:val="1"/>
          <w:iCs w:val="1"/>
          <w:lang w:val="fr"/>
        </w:rPr>
        <w:t>à Sphère </w:t>
      </w:r>
      <w:r w:rsidRPr="35A34EE8" w:rsidR="001E10AB">
        <w:rPr>
          <w:i w:val="1"/>
          <w:iCs w:val="1"/>
          <w:lang w:val="fr"/>
        </w:rPr>
        <w:t>?</w:t>
      </w:r>
      <w:r w:rsidRPr="35A34EE8" w:rsidR="001E10AB">
        <w:rPr>
          <w:lang w:val="fr"/>
        </w:rPr>
        <w:t>).</w:t>
      </w:r>
    </w:p>
    <w:p w:rsidRPr="008D7736" w:rsidR="001E10AB" w:rsidP="001E10AB" w:rsidRDefault="00EE7196" w14:paraId="11ED9F46" w14:textId="48C59730">
      <w:pPr>
        <w:numPr>
          <w:ilvl w:val="0"/>
          <w:numId w:val="1"/>
        </w:numPr>
      </w:pPr>
      <w:r>
        <w:rPr>
          <w:lang w:val="fr"/>
        </w:rPr>
        <w:t xml:space="preserve">La </w:t>
      </w:r>
      <w:r>
        <w:rPr>
          <w:b/>
          <w:bCs/>
          <w:lang w:val="fr"/>
        </w:rPr>
        <w:t>transparence</w:t>
      </w:r>
      <w:r>
        <w:rPr>
          <w:lang w:val="fr"/>
        </w:rPr>
        <w:t xml:space="preserve"> est un autre aspect de la redevabilité</w:t>
      </w:r>
      <w:r w:rsidR="00B871D7">
        <w:rPr>
          <w:lang w:val="fr"/>
        </w:rPr>
        <w:t xml:space="preserve">. Elle est </w:t>
      </w:r>
      <w:r>
        <w:rPr>
          <w:lang w:val="fr"/>
        </w:rPr>
        <w:t>étroitement relié</w:t>
      </w:r>
      <w:r w:rsidR="00B871D7">
        <w:rPr>
          <w:lang w:val="fr"/>
        </w:rPr>
        <w:t>e</w:t>
      </w:r>
      <w:r>
        <w:rPr>
          <w:lang w:val="fr"/>
        </w:rPr>
        <w:t xml:space="preserve"> au fait</w:t>
      </w:r>
      <w:r w:rsidR="00B871D7">
        <w:rPr>
          <w:lang w:val="fr"/>
        </w:rPr>
        <w:t>,</w:t>
      </w:r>
      <w:r>
        <w:rPr>
          <w:lang w:val="fr"/>
        </w:rPr>
        <w:t xml:space="preserve"> pour une organisation</w:t>
      </w:r>
      <w:r w:rsidR="00B871D7">
        <w:rPr>
          <w:lang w:val="fr"/>
        </w:rPr>
        <w:t>,</w:t>
      </w:r>
      <w:r>
        <w:rPr>
          <w:lang w:val="fr"/>
        </w:rPr>
        <w:t xml:space="preserve"> d’être prévisible et cohérente : les standards fournissent un point de référence qui explique les actions que vous menez.</w:t>
      </w:r>
    </w:p>
    <w:sectPr w:rsidRPr="008D7736" w:rsidR="001E10AB" w:rsidSect="00A36C35">
      <w:headerReference w:type="even" r:id="rId17"/>
      <w:headerReference w:type="default" r:id="rId18"/>
      <w:footerReference w:type="even" r:id="rId19"/>
      <w:footerReference w:type="default" r:id="rId20"/>
      <w:headerReference w:type="first" r:id="rId21"/>
      <w:footerReference w:type="first" r:id="rId22"/>
      <w:pgSz w:w="11909" w:h="16834" w:orient="portrait" w:code="9"/>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nitials="MB" w:author="Morgane Boëdec" w:date="2022-08-10T12:28:00Z" w:id="0">
    <w:p w:rsidR="00DE7667" w:rsidP="005D07A2" w:rsidRDefault="00DE7667" w14:paraId="0D47B2F3" w14:textId="77777777">
      <w:pPr>
        <w:pStyle w:val="Commentaire"/>
      </w:pPr>
      <w:r>
        <w:rPr>
          <w:rStyle w:val="Marquedecommentaire"/>
        </w:rPr>
        <w:annotationRef/>
      </w:r>
      <w:r>
        <w:t>The resource in French is not online (yet), but it is translated, proofed and the layout is finished (I worked on it with Aninia) - so it must be somewhere ☺️</w:t>
      </w:r>
    </w:p>
  </w:comment>
  <w:comment w:initials="FF" w:author="Felicity Fallon" w:date="2022-08-12T14:24:31" w:id="1481942442">
    <w:p w:rsidR="35A34EE8" w:rsidRDefault="35A34EE8" w14:paraId="6C39D49D" w14:textId="09298D40">
      <w:pPr>
        <w:pStyle w:val="CommentText"/>
      </w:pPr>
      <w:r>
        <w:fldChar w:fldCharType="begin"/>
      </w:r>
      <w:r>
        <w:instrText xml:space="preserve"> HYPERLINK "mailto:tristan.hale@spherestandards.org"</w:instrText>
      </w:r>
      <w:bookmarkStart w:name="_@_FDE8DAF4963B43EC8114F7C3ECC7E446Z" w:id="1936042973"/>
      <w:r>
        <w:fldChar w:fldCharType="separate"/>
      </w:r>
      <w:bookmarkEnd w:id="1936042973"/>
      <w:r w:rsidRPr="35A34EE8" w:rsidR="35A34EE8">
        <w:rPr>
          <w:rStyle w:val="Mention"/>
          <w:noProof/>
        </w:rPr>
        <w:t>@Tristan Hale</w:t>
      </w:r>
      <w:r>
        <w:fldChar w:fldCharType="end"/>
      </w:r>
      <w:r w:rsidR="35A34EE8">
        <w:rPr/>
        <w:t xml:space="preserve"> ?</w:t>
      </w:r>
      <w:r>
        <w:rPr>
          <w:rStyle w:val="CommentReference"/>
        </w:rPr>
        <w:annotationRef/>
      </w:r>
    </w:p>
  </w:comment>
</w:comments>
</file>

<file path=word/commentsExtended.xml><?xml version="1.0" encoding="utf-8"?>
<w15:commentsEx xmlns:mc="http://schemas.openxmlformats.org/markup-compatibility/2006" xmlns:w15="http://schemas.microsoft.com/office/word/2012/wordml" mc:Ignorable="w15">
  <w15:commentEx w15:done="0" w15:paraId="0D47B2F3"/>
  <w15:commentEx w15:done="0" w15:paraId="6C39D49D" w15:paraIdParent="0D47B2F3"/>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69E22EB" w16cex:dateUtc="2022-08-10T10:28:00Z"/>
  <w16cex:commentExtensible w16cex:durableId="7AFC8095" w16cex:dateUtc="2022-08-12T12:24:31.898Z"/>
</w16cex:commentsExtensible>
</file>

<file path=word/commentsIds.xml><?xml version="1.0" encoding="utf-8"?>
<w16cid:commentsIds xmlns:mc="http://schemas.openxmlformats.org/markup-compatibility/2006" xmlns:w16cid="http://schemas.microsoft.com/office/word/2016/wordml/cid" mc:Ignorable="w16cid">
  <w16cid:commentId w16cid:paraId="0D47B2F3" w16cid:durableId="269E22EB"/>
  <w16cid:commentId w16cid:paraId="6C39D49D" w16cid:durableId="7AFC809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67BDD" w:rsidRDefault="00667BDD" w14:paraId="2385140F" w14:textId="77777777">
      <w:pPr>
        <w:spacing w:after="0" w:line="240" w:lineRule="auto"/>
      </w:pPr>
      <w:r>
        <w:separator/>
      </w:r>
    </w:p>
  </w:endnote>
  <w:endnote w:type="continuationSeparator" w:id="0">
    <w:p w:rsidR="00667BDD" w:rsidRDefault="00667BDD" w14:paraId="3B59FF44"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ucida Sans Unicode">
    <w:panose1 w:val="020B0602030504020204"/>
    <w:charset w:val="00"/>
    <w:family w:val="swiss"/>
    <w:pitch w:val="variable"/>
    <w:sig w:usb0="80000AFF" w:usb1="0000396B" w:usb2="00000000" w:usb3="00000000" w:csb0="000000B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76B6" w:rsidRDefault="00EE76B6" w14:paraId="51EEA17E" w14:textId="77777777">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05"/>
      <w:gridCol w:w="3005"/>
      <w:gridCol w:w="3005"/>
    </w:tblGrid>
    <w:tr w:rsidR="2E557A13" w:rsidTr="2E557A13" w14:paraId="4DE342E1" w14:textId="77777777">
      <w:tc>
        <w:tcPr>
          <w:tcW w:w="3005" w:type="dxa"/>
        </w:tcPr>
        <w:p w:rsidR="2E557A13" w:rsidP="2E557A13" w:rsidRDefault="2E557A13" w14:paraId="526E4966" w14:textId="74DDE6F4">
          <w:pPr>
            <w:pStyle w:val="En-tte"/>
            <w:ind w:left="-115"/>
            <w:rPr>
              <w:rFonts w:ascii="Calibri" w:hAnsi="Calibri" w:eastAsia="Calibri" w:cs="Arial"/>
            </w:rPr>
          </w:pPr>
          <w:r>
            <w:rPr>
              <w:lang w:val="fr"/>
            </w:rPr>
            <w:fldChar w:fldCharType="begin"/>
          </w:r>
          <w:r>
            <w:rPr>
              <w:lang w:val="fr"/>
            </w:rPr>
            <w:instrText>PAGE</w:instrText>
          </w:r>
          <w:r w:rsidR="00000000">
            <w:rPr>
              <w:lang w:val="fr"/>
            </w:rPr>
            <w:fldChar w:fldCharType="separate"/>
          </w:r>
          <w:r w:rsidR="00EE76B6">
            <w:rPr>
              <w:noProof/>
              <w:lang w:val="fr"/>
            </w:rPr>
            <w:t>1</w:t>
          </w:r>
          <w:r>
            <w:rPr>
              <w:lang w:val="fr"/>
            </w:rPr>
            <w:fldChar w:fldCharType="end"/>
          </w:r>
        </w:p>
      </w:tc>
      <w:tc>
        <w:tcPr>
          <w:tcW w:w="3005" w:type="dxa"/>
        </w:tcPr>
        <w:p w:rsidR="2E557A13" w:rsidP="2E557A13" w:rsidRDefault="2E557A13" w14:paraId="7C36ECE4" w14:textId="184FB43B">
          <w:pPr>
            <w:pStyle w:val="En-tte"/>
            <w:jc w:val="center"/>
            <w:rPr>
              <w:rFonts w:ascii="Calibri" w:hAnsi="Calibri" w:eastAsia="Calibri" w:cs="Arial"/>
            </w:rPr>
          </w:pPr>
        </w:p>
      </w:tc>
      <w:tc>
        <w:tcPr>
          <w:tcW w:w="3005" w:type="dxa"/>
        </w:tcPr>
        <w:p w:rsidR="2E557A13" w:rsidP="2E557A13" w:rsidRDefault="2E557A13" w14:paraId="30A7ECBC" w14:textId="5DC01537">
          <w:pPr>
            <w:pStyle w:val="En-tte"/>
            <w:ind w:right="-115"/>
            <w:jc w:val="right"/>
            <w:rPr>
              <w:rFonts w:ascii="Calibri" w:hAnsi="Calibri" w:eastAsia="Calibri" w:cs="Arial"/>
            </w:rPr>
          </w:pPr>
        </w:p>
      </w:tc>
    </w:tr>
  </w:tbl>
  <w:p w:rsidR="2E557A13" w:rsidP="2E557A13" w:rsidRDefault="2E557A13" w14:paraId="60DF6BA3" w14:textId="1EA61A26">
    <w:pPr>
      <w:pStyle w:val="Pieddepage"/>
      <w:rPr>
        <w:rFonts w:ascii="Calibri" w:hAnsi="Calibri" w:eastAsia="Calibri"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76B6" w:rsidRDefault="00EE76B6" w14:paraId="161C9496" w14:textId="7777777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67BDD" w:rsidRDefault="00667BDD" w14:paraId="3283E5A3" w14:textId="77777777">
      <w:pPr>
        <w:spacing w:after="0" w:line="240" w:lineRule="auto"/>
      </w:pPr>
      <w:r>
        <w:separator/>
      </w:r>
    </w:p>
  </w:footnote>
  <w:footnote w:type="continuationSeparator" w:id="0">
    <w:p w:rsidR="00667BDD" w:rsidRDefault="00667BDD" w14:paraId="63E34CD8"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76B6" w:rsidRDefault="00EE76B6" w14:paraId="6C0C80C4" w14:textId="77777777">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tbl>
    <w:tblPr>
      <w:tblW w:w="0" w:type="auto"/>
      <w:tblLayout w:type="fixed"/>
      <w:tblLook w:val="06A0" w:firstRow="1" w:lastRow="0" w:firstColumn="1" w:lastColumn="0" w:noHBand="1" w:noVBand="1"/>
    </w:tblPr>
    <w:tblGrid>
      <w:gridCol w:w="3005"/>
      <w:gridCol w:w="3005"/>
      <w:gridCol w:w="3005"/>
    </w:tblGrid>
    <w:tr w:rsidR="2E557A13" w:rsidTr="2E557A13" w14:paraId="1E2ADAF4" w14:textId="77777777">
      <w:tc>
        <w:tcPr>
          <w:tcW w:w="3005" w:type="dxa"/>
        </w:tcPr>
        <w:p w:rsidR="2E557A13" w:rsidP="2E557A13" w:rsidRDefault="2E557A13" w14:paraId="247C88E0" w14:textId="1606E359">
          <w:pPr>
            <w:pStyle w:val="En-tte"/>
            <w:ind w:left="-115"/>
            <w:rPr>
              <w:rFonts w:ascii="Calibri" w:hAnsi="Calibri" w:eastAsia="Calibri" w:cs="Arial"/>
            </w:rPr>
          </w:pPr>
        </w:p>
      </w:tc>
      <w:tc>
        <w:tcPr>
          <w:tcW w:w="3005" w:type="dxa"/>
        </w:tcPr>
        <w:p w:rsidR="2E557A13" w:rsidP="2E557A13" w:rsidRDefault="2E557A13" w14:paraId="38CC1511" w14:textId="61C4CDFE">
          <w:pPr>
            <w:pStyle w:val="En-tte"/>
            <w:jc w:val="center"/>
            <w:rPr>
              <w:rFonts w:ascii="Calibri" w:hAnsi="Calibri" w:eastAsia="Calibri" w:cs="Arial"/>
            </w:rPr>
          </w:pPr>
        </w:p>
      </w:tc>
      <w:tc>
        <w:tcPr>
          <w:tcW w:w="3005" w:type="dxa"/>
        </w:tcPr>
        <w:p w:rsidR="2E557A13" w:rsidP="2E557A13" w:rsidRDefault="2E557A13" w14:paraId="53D7683D" w14:textId="44CE88A0">
          <w:pPr>
            <w:pStyle w:val="En-tte"/>
            <w:ind w:right="-115"/>
            <w:jc w:val="right"/>
            <w:rPr>
              <w:rFonts w:ascii="Calibri" w:hAnsi="Calibri" w:eastAsia="Calibri" w:cs="Arial"/>
            </w:rPr>
          </w:pPr>
          <w:r>
            <w:rPr>
              <w:noProof/>
              <w:lang w:val="fr"/>
            </w:rPr>
            <w:drawing>
              <wp:inline distT="0" distB="0" distL="0" distR="0" wp14:anchorId="74412778" wp14:editId="0DC70D58">
                <wp:extent cx="1276350" cy="590550"/>
                <wp:effectExtent l="0" t="0" r="0" b="0"/>
                <wp:docPr id="1346375890" name="Image 13463758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1276350" cy="590550"/>
                        </a:xfrm>
                        <a:prstGeom prst="rect">
                          <a:avLst/>
                        </a:prstGeom>
                      </pic:spPr>
                    </pic:pic>
                  </a:graphicData>
                </a:graphic>
              </wp:inline>
            </w:drawing>
          </w:r>
        </w:p>
      </w:tc>
    </w:tr>
  </w:tbl>
  <w:p w:rsidR="2E557A13" w:rsidP="2E557A13" w:rsidRDefault="2E557A13" w14:paraId="6CA32750" w14:textId="11CCE41E">
    <w:pPr>
      <w:pStyle w:val="En-tte"/>
      <w:rPr>
        <w:rFonts w:ascii="Calibri" w:hAnsi="Calibri" w:eastAsia="Calibri" w:cs="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76B6" w:rsidRDefault="00EE76B6" w14:paraId="4DC03886" w14:textId="7777777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F7AE6"/>
    <w:multiLevelType w:val="hybridMultilevel"/>
    <w:tmpl w:val="585C5388"/>
    <w:lvl w:ilvl="0" w:tplc="1EE6B228">
      <w:start w:val="1"/>
      <w:numFmt w:val="bullet"/>
      <w:lvlText w:val="⇨"/>
      <w:lvlJc w:val="left"/>
      <w:pPr>
        <w:tabs>
          <w:tab w:val="num" w:pos="720"/>
        </w:tabs>
        <w:ind w:left="720" w:hanging="360"/>
      </w:pPr>
      <w:rPr>
        <w:rFonts w:hint="default" w:ascii="Lucida Sans Unicode" w:hAnsi="Lucida Sans Unicode"/>
      </w:rPr>
    </w:lvl>
    <w:lvl w:ilvl="1" w:tplc="3C562FB2" w:tentative="1">
      <w:start w:val="1"/>
      <w:numFmt w:val="bullet"/>
      <w:lvlText w:val="⇨"/>
      <w:lvlJc w:val="left"/>
      <w:pPr>
        <w:tabs>
          <w:tab w:val="num" w:pos="1440"/>
        </w:tabs>
        <w:ind w:left="1440" w:hanging="360"/>
      </w:pPr>
      <w:rPr>
        <w:rFonts w:hint="default" w:ascii="Lucida Sans Unicode" w:hAnsi="Lucida Sans Unicode"/>
      </w:rPr>
    </w:lvl>
    <w:lvl w:ilvl="2" w:tplc="2D929B1A" w:tentative="1">
      <w:start w:val="1"/>
      <w:numFmt w:val="bullet"/>
      <w:lvlText w:val="⇨"/>
      <w:lvlJc w:val="left"/>
      <w:pPr>
        <w:tabs>
          <w:tab w:val="num" w:pos="2160"/>
        </w:tabs>
        <w:ind w:left="2160" w:hanging="360"/>
      </w:pPr>
      <w:rPr>
        <w:rFonts w:hint="default" w:ascii="Lucida Sans Unicode" w:hAnsi="Lucida Sans Unicode"/>
      </w:rPr>
    </w:lvl>
    <w:lvl w:ilvl="3" w:tplc="B6403148" w:tentative="1">
      <w:start w:val="1"/>
      <w:numFmt w:val="bullet"/>
      <w:lvlText w:val="⇨"/>
      <w:lvlJc w:val="left"/>
      <w:pPr>
        <w:tabs>
          <w:tab w:val="num" w:pos="2880"/>
        </w:tabs>
        <w:ind w:left="2880" w:hanging="360"/>
      </w:pPr>
      <w:rPr>
        <w:rFonts w:hint="default" w:ascii="Lucida Sans Unicode" w:hAnsi="Lucida Sans Unicode"/>
      </w:rPr>
    </w:lvl>
    <w:lvl w:ilvl="4" w:tplc="1B84F0FA" w:tentative="1">
      <w:start w:val="1"/>
      <w:numFmt w:val="bullet"/>
      <w:lvlText w:val="⇨"/>
      <w:lvlJc w:val="left"/>
      <w:pPr>
        <w:tabs>
          <w:tab w:val="num" w:pos="3600"/>
        </w:tabs>
        <w:ind w:left="3600" w:hanging="360"/>
      </w:pPr>
      <w:rPr>
        <w:rFonts w:hint="default" w:ascii="Lucida Sans Unicode" w:hAnsi="Lucida Sans Unicode"/>
      </w:rPr>
    </w:lvl>
    <w:lvl w:ilvl="5" w:tplc="33F8FC88" w:tentative="1">
      <w:start w:val="1"/>
      <w:numFmt w:val="bullet"/>
      <w:lvlText w:val="⇨"/>
      <w:lvlJc w:val="left"/>
      <w:pPr>
        <w:tabs>
          <w:tab w:val="num" w:pos="4320"/>
        </w:tabs>
        <w:ind w:left="4320" w:hanging="360"/>
      </w:pPr>
      <w:rPr>
        <w:rFonts w:hint="default" w:ascii="Lucida Sans Unicode" w:hAnsi="Lucida Sans Unicode"/>
      </w:rPr>
    </w:lvl>
    <w:lvl w:ilvl="6" w:tplc="942009B6" w:tentative="1">
      <w:start w:val="1"/>
      <w:numFmt w:val="bullet"/>
      <w:lvlText w:val="⇨"/>
      <w:lvlJc w:val="left"/>
      <w:pPr>
        <w:tabs>
          <w:tab w:val="num" w:pos="5040"/>
        </w:tabs>
        <w:ind w:left="5040" w:hanging="360"/>
      </w:pPr>
      <w:rPr>
        <w:rFonts w:hint="default" w:ascii="Lucida Sans Unicode" w:hAnsi="Lucida Sans Unicode"/>
      </w:rPr>
    </w:lvl>
    <w:lvl w:ilvl="7" w:tplc="0CE86D50" w:tentative="1">
      <w:start w:val="1"/>
      <w:numFmt w:val="bullet"/>
      <w:lvlText w:val="⇨"/>
      <w:lvlJc w:val="left"/>
      <w:pPr>
        <w:tabs>
          <w:tab w:val="num" w:pos="5760"/>
        </w:tabs>
        <w:ind w:left="5760" w:hanging="360"/>
      </w:pPr>
      <w:rPr>
        <w:rFonts w:hint="default" w:ascii="Lucida Sans Unicode" w:hAnsi="Lucida Sans Unicode"/>
      </w:rPr>
    </w:lvl>
    <w:lvl w:ilvl="8" w:tplc="2E5004AE" w:tentative="1">
      <w:start w:val="1"/>
      <w:numFmt w:val="bullet"/>
      <w:lvlText w:val="⇨"/>
      <w:lvlJc w:val="left"/>
      <w:pPr>
        <w:tabs>
          <w:tab w:val="num" w:pos="6480"/>
        </w:tabs>
        <w:ind w:left="6480" w:hanging="360"/>
      </w:pPr>
      <w:rPr>
        <w:rFonts w:hint="default" w:ascii="Lucida Sans Unicode" w:hAnsi="Lucida Sans Unicode"/>
      </w:rPr>
    </w:lvl>
  </w:abstractNum>
  <w:num w:numId="1" w16cid:durableId="1391881600">
    <w:abstractNumId w:val="0"/>
  </w:num>
</w:numbering>
</file>

<file path=word/people.xml><?xml version="1.0" encoding="utf-8"?>
<w15:people xmlns:mc="http://schemas.openxmlformats.org/markup-compatibility/2006" xmlns:w15="http://schemas.microsoft.com/office/word/2012/wordml" mc:Ignorable="w15">
  <w15:person w15:author="Morgane Boëdec">
    <w15:presenceInfo w15:providerId="None" w15:userId="Morgane Boëdec"/>
  </w15:person>
  <w15:person w15:author="Felicity Fallon">
    <w15:presenceInfo w15:providerId="AD" w15:userId="S::felicity.fallon@spherestandards.org::3ff0e4c3-3ad8-4010-beb2-c940946a3c5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trackRevisions w:val="false"/>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2CB5"/>
    <w:rsid w:val="00002F34"/>
    <w:rsid w:val="000156F0"/>
    <w:rsid w:val="000246BB"/>
    <w:rsid w:val="00097DFD"/>
    <w:rsid w:val="000B382A"/>
    <w:rsid w:val="000C7755"/>
    <w:rsid w:val="000D0A55"/>
    <w:rsid w:val="000D18C5"/>
    <w:rsid w:val="000D264F"/>
    <w:rsid w:val="0010109C"/>
    <w:rsid w:val="00104E96"/>
    <w:rsid w:val="0010764A"/>
    <w:rsid w:val="00117A91"/>
    <w:rsid w:val="001562B2"/>
    <w:rsid w:val="001E10AB"/>
    <w:rsid w:val="002D334F"/>
    <w:rsid w:val="00312A76"/>
    <w:rsid w:val="003370A6"/>
    <w:rsid w:val="003847BA"/>
    <w:rsid w:val="003C4FE3"/>
    <w:rsid w:val="003E4AD3"/>
    <w:rsid w:val="0040624E"/>
    <w:rsid w:val="0043487A"/>
    <w:rsid w:val="0043604B"/>
    <w:rsid w:val="00465A1C"/>
    <w:rsid w:val="004A2D64"/>
    <w:rsid w:val="00592102"/>
    <w:rsid w:val="00594D8C"/>
    <w:rsid w:val="005A0D27"/>
    <w:rsid w:val="005C34E5"/>
    <w:rsid w:val="005E1C47"/>
    <w:rsid w:val="005E2BE3"/>
    <w:rsid w:val="005E4922"/>
    <w:rsid w:val="0060095F"/>
    <w:rsid w:val="006659A7"/>
    <w:rsid w:val="00667BDD"/>
    <w:rsid w:val="00723FF9"/>
    <w:rsid w:val="007645FC"/>
    <w:rsid w:val="007706F7"/>
    <w:rsid w:val="007E76D4"/>
    <w:rsid w:val="0083141E"/>
    <w:rsid w:val="00837E25"/>
    <w:rsid w:val="00881E79"/>
    <w:rsid w:val="0089769A"/>
    <w:rsid w:val="008D7736"/>
    <w:rsid w:val="009419EA"/>
    <w:rsid w:val="009453AA"/>
    <w:rsid w:val="00947A6A"/>
    <w:rsid w:val="00984509"/>
    <w:rsid w:val="0098619C"/>
    <w:rsid w:val="009925ED"/>
    <w:rsid w:val="009947F6"/>
    <w:rsid w:val="009C6BD7"/>
    <w:rsid w:val="009D2E2B"/>
    <w:rsid w:val="009F6615"/>
    <w:rsid w:val="00A15C9B"/>
    <w:rsid w:val="00A36C35"/>
    <w:rsid w:val="00A56F90"/>
    <w:rsid w:val="00A70545"/>
    <w:rsid w:val="00A83D4D"/>
    <w:rsid w:val="00AA4293"/>
    <w:rsid w:val="00AC033A"/>
    <w:rsid w:val="00AD30AD"/>
    <w:rsid w:val="00AF0904"/>
    <w:rsid w:val="00B871D7"/>
    <w:rsid w:val="00B90C43"/>
    <w:rsid w:val="00C36764"/>
    <w:rsid w:val="00C71F94"/>
    <w:rsid w:val="00CA3773"/>
    <w:rsid w:val="00CF156E"/>
    <w:rsid w:val="00D21AB2"/>
    <w:rsid w:val="00D87AEA"/>
    <w:rsid w:val="00DC6C85"/>
    <w:rsid w:val="00DE7667"/>
    <w:rsid w:val="00E3579D"/>
    <w:rsid w:val="00E3581D"/>
    <w:rsid w:val="00E85B57"/>
    <w:rsid w:val="00E86808"/>
    <w:rsid w:val="00EE0094"/>
    <w:rsid w:val="00EE7196"/>
    <w:rsid w:val="00EE76B6"/>
    <w:rsid w:val="00F02C9A"/>
    <w:rsid w:val="00F20A8F"/>
    <w:rsid w:val="00F70C55"/>
    <w:rsid w:val="00F82CB5"/>
    <w:rsid w:val="00FA00C1"/>
    <w:rsid w:val="00FA0B37"/>
    <w:rsid w:val="00FE6001"/>
    <w:rsid w:val="00FE68CB"/>
    <w:rsid w:val="03E6BA8A"/>
    <w:rsid w:val="10043E9C"/>
    <w:rsid w:val="16F57A2F"/>
    <w:rsid w:val="248C34E0"/>
    <w:rsid w:val="2E557A13"/>
    <w:rsid w:val="35A34EE8"/>
    <w:rsid w:val="3CE24420"/>
    <w:rsid w:val="4976418E"/>
    <w:rsid w:val="6F5D4C6C"/>
    <w:rsid w:val="7D09B27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9063F9"/>
  <w15:chartTrackingRefBased/>
  <w15:docId w15:val="{F70C56EE-0B0C-43BB-A692-91FCE35923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EastAsia"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1E10AB"/>
    <w:rPr>
      <w:rFonts w:eastAsiaTheme="minorHAnsi"/>
      <w:lang w:val="en-GB" w:eastAsia="en-US"/>
    </w:rPr>
  </w:style>
  <w:style w:type="paragraph" w:styleId="Titre1">
    <w:name w:val="heading 1"/>
    <w:basedOn w:val="Normal"/>
    <w:next w:val="Normal"/>
    <w:link w:val="Titre1Car"/>
    <w:uiPriority w:val="9"/>
    <w:qFormat/>
    <w:pPr>
      <w:keepNext/>
      <w:keepLines/>
      <w:spacing w:before="240" w:after="0"/>
      <w:outlineLvl w:val="0"/>
    </w:pPr>
    <w:rPr>
      <w:rFonts w:asciiTheme="majorHAnsi" w:hAnsiTheme="majorHAnsi" w:eastAsiaTheme="majorEastAsia" w:cstheme="majorBidi"/>
      <w:color w:val="2F5496" w:themeColor="accent1" w:themeShade="BF"/>
      <w:sz w:val="32"/>
      <w:szCs w:val="32"/>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character" w:styleId="Lienhypertexte">
    <w:name w:val="Hyperlink"/>
    <w:basedOn w:val="Policepardfaut"/>
    <w:uiPriority w:val="99"/>
    <w:unhideWhenUsed/>
    <w:rsid w:val="00F20A8F"/>
    <w:rPr>
      <w:color w:val="0563C1" w:themeColor="hyperlink"/>
      <w:u w:val="single"/>
    </w:rPr>
  </w:style>
  <w:style w:type="character" w:styleId="Mentionnonrsolue">
    <w:name w:val="Unresolved Mention"/>
    <w:basedOn w:val="Policepardfaut"/>
    <w:uiPriority w:val="99"/>
    <w:semiHidden/>
    <w:unhideWhenUsed/>
    <w:rsid w:val="00F20A8F"/>
    <w:rPr>
      <w:color w:val="605E5C"/>
      <w:shd w:val="clear" w:color="auto" w:fill="E1DFDD"/>
    </w:rPr>
  </w:style>
  <w:style w:type="paragraph" w:styleId="Commentaire">
    <w:name w:val="annotation text"/>
    <w:basedOn w:val="Normal"/>
    <w:link w:val="CommentaireCar"/>
    <w:uiPriority w:val="99"/>
    <w:unhideWhenUsed/>
    <w:pPr>
      <w:spacing w:line="240" w:lineRule="auto"/>
    </w:pPr>
    <w:rPr>
      <w:sz w:val="20"/>
      <w:szCs w:val="20"/>
    </w:rPr>
  </w:style>
  <w:style w:type="character" w:styleId="CommentaireCar" w:customStyle="1">
    <w:name w:val="Commentaire Car"/>
    <w:basedOn w:val="Policepardfaut"/>
    <w:link w:val="Commentaire"/>
    <w:uiPriority w:val="99"/>
    <w:rPr>
      <w:rFonts w:eastAsiaTheme="minorHAnsi"/>
      <w:sz w:val="20"/>
      <w:szCs w:val="20"/>
      <w:lang w:val="en-GB" w:eastAsia="en-US"/>
    </w:rPr>
  </w:style>
  <w:style w:type="character" w:styleId="Marquedecommentaire">
    <w:name w:val="annotation reference"/>
    <w:basedOn w:val="Policepardfaut"/>
    <w:uiPriority w:val="99"/>
    <w:semiHidden/>
    <w:unhideWhenUsed/>
    <w:rPr>
      <w:sz w:val="16"/>
      <w:szCs w:val="16"/>
    </w:rPr>
  </w:style>
  <w:style w:type="character" w:styleId="Titre1Car" w:customStyle="1">
    <w:name w:val="Titre 1 Car"/>
    <w:basedOn w:val="Policepardfaut"/>
    <w:link w:val="Titre1"/>
    <w:uiPriority w:val="9"/>
    <w:rPr>
      <w:rFonts w:asciiTheme="majorHAnsi" w:hAnsiTheme="majorHAnsi" w:eastAsiaTheme="majorEastAsia" w:cstheme="majorBidi"/>
      <w:color w:val="2F5496" w:themeColor="accent1" w:themeShade="BF"/>
      <w:sz w:val="32"/>
      <w:szCs w:val="32"/>
    </w:rPr>
  </w:style>
  <w:style w:type="table" w:styleId="Grilledutableau">
    <w:name w:val="Table Grid"/>
    <w:basedOn w:val="TableauNormal"/>
    <w:uiPriority w:val="59"/>
    <w:rsid w:val="00FB4123"/>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En-tteCar" w:customStyle="1">
    <w:name w:val="En-tête Car"/>
    <w:basedOn w:val="Policepardfaut"/>
    <w:link w:val="En-tte"/>
    <w:uiPriority w:val="99"/>
  </w:style>
  <w:style w:type="paragraph" w:styleId="En-tte">
    <w:name w:val="header"/>
    <w:basedOn w:val="Normal"/>
    <w:link w:val="En-tteCar"/>
    <w:uiPriority w:val="99"/>
    <w:unhideWhenUsed/>
    <w:pPr>
      <w:tabs>
        <w:tab w:val="center" w:pos="4680"/>
        <w:tab w:val="right" w:pos="9360"/>
      </w:tabs>
      <w:spacing w:after="0" w:line="240" w:lineRule="auto"/>
    </w:pPr>
  </w:style>
  <w:style w:type="character" w:styleId="PieddepageCar" w:customStyle="1">
    <w:name w:val="Pied de page Car"/>
    <w:basedOn w:val="Policepardfaut"/>
    <w:link w:val="Pieddepage"/>
    <w:uiPriority w:val="99"/>
  </w:style>
  <w:style w:type="paragraph" w:styleId="Pieddepage">
    <w:name w:val="footer"/>
    <w:basedOn w:val="Normal"/>
    <w:link w:val="PieddepageCar"/>
    <w:uiPriority w:val="99"/>
    <w:unhideWhenUsed/>
    <w:pPr>
      <w:tabs>
        <w:tab w:val="center" w:pos="4680"/>
        <w:tab w:val="right" w:pos="9360"/>
      </w:tabs>
      <w:spacing w:after="0" w:line="240" w:lineRule="auto"/>
    </w:pPr>
  </w:style>
  <w:style w:type="paragraph" w:styleId="Objetducommentaire">
    <w:name w:val="annotation subject"/>
    <w:basedOn w:val="Commentaire"/>
    <w:next w:val="Commentaire"/>
    <w:link w:val="ObjetducommentaireCar"/>
    <w:uiPriority w:val="99"/>
    <w:semiHidden/>
    <w:unhideWhenUsed/>
    <w:rsid w:val="00DE7667"/>
    <w:rPr>
      <w:b/>
      <w:bCs/>
    </w:rPr>
  </w:style>
  <w:style w:type="character" w:styleId="ObjetducommentaireCar" w:customStyle="1">
    <w:name w:val="Objet du commentaire Car"/>
    <w:basedOn w:val="CommentaireCar"/>
    <w:link w:val="Objetducommentaire"/>
    <w:uiPriority w:val="99"/>
    <w:semiHidden/>
    <w:rsid w:val="00DE7667"/>
    <w:rPr>
      <w:rFonts w:eastAsiaTheme="minorHAnsi"/>
      <w:b/>
      <w:bCs/>
      <w:sz w:val="20"/>
      <w:szCs w:val="20"/>
      <w:lang w:val="en-GB" w:eastAsia="en-US"/>
    </w:rPr>
  </w:style>
  <w:style xmlns:w14="http://schemas.microsoft.com/office/word/2010/wordml" xmlns:mc="http://schemas.openxmlformats.org/markup-compatibility/2006" xmlns:w="http://schemas.openxmlformats.org/wordprocessingml/2006/main" w:type="character" w:styleId="Mention" w:default="1" mc:Ignorable="w14">
    <w:name xmlns:w="http://schemas.openxmlformats.org/wordprocessingml/2006/main" w:val="Mention"/>
    <w:basedOn xmlns:w="http://schemas.openxmlformats.org/wordprocessingml/2006/main" w:val="Policepardfaut"/>
    <w:uiPriority xmlns:w="http://schemas.openxmlformats.org/wordprocessingml/2006/main" w:val="99"/>
    <w:unhideWhenUsed xmlns:w="http://schemas.openxmlformats.org/wordprocessingml/2006/main"/>
    <w:rPr xmlns:w="http://schemas.openxmlformats.org/wordprocessingml/2006/main">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8/08/relationships/commentsExtensible" Target="commentsExtensible.xm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webSettings" Target="webSettings.xml"/><Relationship Id="rId12" Type="http://schemas.microsoft.com/office/2016/09/relationships/commentsIds" Target="commentsIds.xm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learning.spherestandards.org/?lang=french"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24" Type="http://schemas.microsoft.com/office/2011/relationships/people" Target="people.xml"/><Relationship Id="rId5" Type="http://schemas.openxmlformats.org/officeDocument/2006/relationships/styles" Target="styles.xml"/><Relationship Id="rId15" Type="http://schemas.openxmlformats.org/officeDocument/2006/relationships/hyperlink" Target="https://spherestandards.org/fr/resources/?category=ndmas-fr" TargetMode="External"/><Relationship Id="rId23" Type="http://schemas.openxmlformats.org/officeDocument/2006/relationships/fontTable" Target="fontTable.xml"/><Relationship Id="rId10" Type="http://schemas.openxmlformats.org/officeDocument/2006/relationships/comments" Target="comments.xml"/><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handbook.spherestandards.org/fr/sphere/" TargetMode="External"/><Relationship Id="rId22"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Flow_SignoffStatus xmlns="1355b3f0-e072-4ae3-b261-722c43fa6e26" xsi:nil="true"/>
    <lcf76f155ced4ddcb4097134ff3c332f xmlns="1355b3f0-e072-4ae3-b261-722c43fa6e26">
      <Terms xmlns="http://schemas.microsoft.com/office/infopath/2007/PartnerControls"/>
    </lcf76f155ced4ddcb4097134ff3c332f>
    <TaxCatchAll xmlns="9051fefc-2ea4-4620-a82b-61f19e316bb6" xsi:nil="true"/>
    <SharedWithUsers xmlns="9051fefc-2ea4-4620-a82b-61f19e316bb6">
      <UserInfo>
        <DisplayName/>
        <AccountId xsi:nil="true"/>
        <AccountType/>
      </UserInfo>
    </SharedWithUsers>
    <MediaLengthInSeconds xmlns="1355b3f0-e072-4ae3-b261-722c43fa6e2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0548E345B6D594AAA06BAD71EA843DF" ma:contentTypeVersion="17" ma:contentTypeDescription="Create a new document." ma:contentTypeScope="" ma:versionID="27943c6b80f0f39d6ddcdeaead66d061">
  <xsd:schema xmlns:xsd="http://www.w3.org/2001/XMLSchema" xmlns:xs="http://www.w3.org/2001/XMLSchema" xmlns:p="http://schemas.microsoft.com/office/2006/metadata/properties" xmlns:ns2="1355b3f0-e072-4ae3-b261-722c43fa6e26" xmlns:ns3="9051fefc-2ea4-4620-a82b-61f19e316bb6" targetNamespace="http://schemas.microsoft.com/office/2006/metadata/properties" ma:root="true" ma:fieldsID="0d10aba7434b7a129700691a02125503" ns2:_="" ns3:_="">
    <xsd:import namespace="1355b3f0-e072-4ae3-b261-722c43fa6e26"/>
    <xsd:import namespace="9051fefc-2ea4-4620-a82b-61f19e316bb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element ref="ns3:SharedWithUsers" minOccurs="0"/>
                <xsd:element ref="ns3:SharedWithDetails" minOccurs="0"/>
                <xsd:element ref="ns2:_Flow_SignoffStatu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55b3f0-e072-4ae3-b261-722c43fa6e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_Flow_SignoffStatus" ma:index="20" nillable="true" ma:displayName="État de validation" ma:internalName="_x00c9_tat_x0020_de_x0020_validation">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c2c48a7-3976-43da-8c19-cb30e3e77c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051fefc-2ea4-4620-a82b-61f19e316bb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8403d0eb-ff5c-4829-9fc3-59ef669ebb52}" ma:internalName="TaxCatchAll" ma:showField="CatchAllData" ma:web="9051fefc-2ea4-4620-a82b-61f19e316bb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0046634-E827-48C3-84C5-FCD282D0A5EA}">
  <ds:schemaRefs>
    <ds:schemaRef ds:uri="http://schemas.microsoft.com/sharepoint/v3/contenttype/forms"/>
  </ds:schemaRefs>
</ds:datastoreItem>
</file>

<file path=customXml/itemProps2.xml><?xml version="1.0" encoding="utf-8"?>
<ds:datastoreItem xmlns:ds="http://schemas.openxmlformats.org/officeDocument/2006/customXml" ds:itemID="{03841830-35EB-4A73-ACD0-61BE27084582}">
  <ds:schemaRefs>
    <ds:schemaRef ds:uri="http://schemas.microsoft.com/office/2006/metadata/properties"/>
    <ds:schemaRef ds:uri="http://schemas.microsoft.com/office/infopath/2007/PartnerControls"/>
    <ds:schemaRef ds:uri="1355b3f0-e072-4ae3-b261-722c43fa6e26"/>
  </ds:schemaRefs>
</ds:datastoreItem>
</file>

<file path=customXml/itemProps3.xml><?xml version="1.0" encoding="utf-8"?>
<ds:datastoreItem xmlns:ds="http://schemas.openxmlformats.org/officeDocument/2006/customXml" ds:itemID="{B30C42AE-F0E4-49A7-BC49-D5D04009E008}"/>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Tristan Hale</dc:creator>
  <cp:keywords/>
  <dc:description/>
  <cp:lastModifiedBy>Felicity Fallon</cp:lastModifiedBy>
  <cp:revision>83</cp:revision>
  <dcterms:created xsi:type="dcterms:W3CDTF">2021-12-01T18:08:00Z</dcterms:created>
  <dcterms:modified xsi:type="dcterms:W3CDTF">2022-08-12T12:24:59Z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0x01010040548E345B6D594AAA06BAD71EA843DF</vt:lpwstr>
  </property>
  <property fmtid="{D5CDD505-2E9C-101B-9397-08002B2CF9AE}" pid="3" name="Order">
    <vt:r8>45600</vt:r8>
  </property>
  <property fmtid="{D5CDD505-2E9C-101B-9397-08002B2CF9AE}" pid="4" name="_ExtendedDescription">
    <vt:lpwstr/>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MediaServiceImageTags">
    <vt:lpwstr/>
  </property>
</Properties>
</file>