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3348C" w:rsidR="387CC325" w:rsidP="5A438B80" w:rsidRDefault="387CC325" w14:paraId="7DE28A7C" w14:textId="16356F25">
      <w:pPr>
        <w:pStyle w:val="Titre1"/>
        <w:rPr>
          <w:rFonts w:ascii="Calibri Light" w:hAnsi="Calibri Light" w:eastAsia="Yu Gothic Light" w:cs="Times New Roman"/>
          <w:b/>
          <w:bCs/>
        </w:rPr>
      </w:pPr>
      <w:r>
        <w:rPr>
          <w:lang w:val="fr"/>
        </w:rPr>
        <w:t>Mots clés de Sphère : Notes pour le débriefing</w:t>
      </w:r>
    </w:p>
    <w:p w:rsidRPr="0003348C" w:rsidR="00301F96" w:rsidP="009B6240" w:rsidRDefault="00301F96" w14:paraId="403C61C5" w14:textId="77777777">
      <w:pPr>
        <w:rPr>
          <w:b/>
          <w:bCs/>
        </w:rPr>
      </w:pPr>
    </w:p>
    <w:p w:rsidRPr="0003348C" w:rsidR="009B6240" w:rsidP="5A438B80" w:rsidRDefault="009B6240" w14:paraId="7AFDD25A" w14:textId="1953D5C3">
      <w:pPr>
        <w:pStyle w:val="Titre2"/>
        <w:rPr>
          <w:rFonts w:ascii="Calibri Light" w:hAnsi="Calibri Light" w:eastAsia="Yu Gothic Light" w:cs="Times New Roman"/>
          <w:b/>
          <w:bCs/>
        </w:rPr>
      </w:pPr>
      <w:r>
        <w:rPr>
          <w:lang w:val="fr"/>
        </w:rPr>
        <w:t>Redevabilité</w:t>
      </w:r>
    </w:p>
    <w:p w:rsidRPr="0003348C" w:rsidR="00784239" w:rsidP="009B6240" w:rsidRDefault="00784239" w14:paraId="49969500" w14:textId="4DFB7837">
      <w:r>
        <w:rPr>
          <w:lang w:val="fr"/>
        </w:rPr>
        <w:t xml:space="preserve">« Le terme 'redevabilité' signifie un usage responsable du pouvoir (ressources, prise de décisions) par les acteurs humanitaires, combiné à une programmation efficace et de qualité qui tienne compte de la dignité, des capacités et de la capacité d’indépendance de la communauté concernée. » </w:t>
      </w:r>
      <w:hyperlink w:history="1" r:id="rId9">
        <w:r>
          <w:rPr>
            <w:rStyle w:val="Lienhypertexte"/>
            <w:lang w:val="fr"/>
          </w:rPr>
          <w:t>H</w:t>
        </w:r>
        <w:r>
          <w:rPr>
            <w:rStyle w:val="Lienhypertexte"/>
            <w:lang w:val="fr"/>
          </w:rPr>
          <w:t>C</w:t>
        </w:r>
        <w:r>
          <w:rPr>
            <w:rStyle w:val="Lienhypertexte"/>
            <w:lang w:val="fr"/>
          </w:rPr>
          <w:t>R</w:t>
        </w:r>
      </w:hyperlink>
    </w:p>
    <w:p w:rsidRPr="0003348C" w:rsidR="001406C9" w:rsidP="009711D0" w:rsidRDefault="009711D0" w14:paraId="7A75D146" w14:textId="74068875" w14:noSpellErr="1">
      <w:r w:rsidRPr="148B4651" w:rsidR="009711D0">
        <w:rPr>
          <w:lang w:val="fr"/>
        </w:rPr>
        <w:t>« </w:t>
      </w:r>
      <w:r w:rsidRPr="148B4651" w:rsidR="009711D0">
        <w:rPr>
          <w:sz w:val="22"/>
          <w:szCs w:val="22"/>
          <w:lang w:val="fr"/>
        </w:rPr>
        <w:t xml:space="preserve">La </w:t>
      </w:r>
      <w:r w:rsidRPr="148B4651" w:rsidR="009711D0">
        <w:rPr>
          <w:sz w:val="22"/>
          <w:szCs w:val="22"/>
          <w:lang w:val="fr"/>
        </w:rPr>
        <w:t xml:space="preserve">responsabilité </w:t>
      </w:r>
      <w:r w:rsidRPr="148B4651" w:rsidR="009711D0">
        <w:rPr>
          <w:sz w:val="20"/>
          <w:szCs w:val="20"/>
          <w:lang w:val="fr"/>
        </w:rPr>
        <w:t>à l’égard des populations touchées est un engagement actif des acteurs humanitaires à utiliser le pouvoir de manière responsable en tenant compte des personnes qu’ils cherchent à aider, en leur rendant des comptes et en étant tenu</w:t>
      </w:r>
      <w:r w:rsidRPr="148B4651" w:rsidR="008C433E">
        <w:rPr>
          <w:sz w:val="20"/>
          <w:szCs w:val="20"/>
          <w:lang w:val="fr"/>
        </w:rPr>
        <w:t>s</w:t>
      </w:r>
      <w:r w:rsidRPr="148B4651" w:rsidR="009711D0">
        <w:rPr>
          <w:sz w:val="20"/>
          <w:szCs w:val="20"/>
          <w:lang w:val="fr"/>
        </w:rPr>
        <w:t xml:space="preserve"> par cette obligation redditionnelle à leur égard. </w:t>
      </w:r>
      <w:r w:rsidRPr="148B4651" w:rsidR="009711D0">
        <w:rPr>
          <w:lang w:val="fr"/>
        </w:rPr>
        <w:t xml:space="preserve">» </w:t>
      </w:r>
      <w:hyperlink r:id="R0b553acd49484a68">
        <w:r w:rsidRPr="148B4651" w:rsidR="009711D0">
          <w:rPr>
            <w:rStyle w:val="Lienhypertexte"/>
            <w:lang w:val="fr"/>
          </w:rPr>
          <w:t>OI</w:t>
        </w:r>
        <w:r w:rsidRPr="148B4651" w:rsidR="009711D0">
          <w:rPr>
            <w:rStyle w:val="Lienhypertexte"/>
            <w:lang w:val="fr"/>
          </w:rPr>
          <w:t>M</w:t>
        </w:r>
      </w:hyperlink>
    </w:p>
    <w:p w:rsidRPr="0003348C" w:rsidR="009B6240" w:rsidP="009B6240" w:rsidRDefault="009B6240" w14:paraId="0730C45F" w14:textId="6BE68A1E">
      <w:r>
        <w:rPr>
          <w:lang w:val="fr"/>
        </w:rPr>
        <w:t xml:space="preserve">Plus vous avez de ressources, plus vous avez de pouvoir. Le pouvoir entraîne la responsabilité. Plus vous </w:t>
      </w:r>
      <w:proofErr w:type="gramStart"/>
      <w:r>
        <w:rPr>
          <w:lang w:val="fr"/>
        </w:rPr>
        <w:t>avez</w:t>
      </w:r>
      <w:proofErr w:type="gramEnd"/>
      <w:r>
        <w:rPr>
          <w:lang w:val="fr"/>
        </w:rPr>
        <w:t xml:space="preserve"> de responsabilités, plus vous devez être redevable.</w:t>
      </w:r>
    </w:p>
    <w:p w:rsidRPr="0003348C" w:rsidR="009B6240" w:rsidP="009B6240" w:rsidRDefault="009B6240" w14:paraId="52EF8F8D" w14:textId="74A193E0">
      <w:r>
        <w:rPr>
          <w:lang w:val="fr"/>
        </w:rPr>
        <w:t xml:space="preserve">Le manuel Sphère vous aide à vous comporter de manière redevable. </w:t>
      </w:r>
      <w:r w:rsidR="002F52CF">
        <w:rPr>
          <w:lang w:val="fr"/>
        </w:rPr>
        <w:t>Il</w:t>
      </w:r>
      <w:r>
        <w:rPr>
          <w:lang w:val="fr"/>
        </w:rPr>
        <w:t xml:space="preserve"> définit les bonnes pratiques et propose une orientation relative à la manière d’impliquer toutes les parties prenantes – dont les groupes minoritaires – </w:t>
      </w:r>
      <w:r w:rsidR="0095030E">
        <w:rPr>
          <w:lang w:val="fr"/>
        </w:rPr>
        <w:t>dans</w:t>
      </w:r>
      <w:r>
        <w:rPr>
          <w:lang w:val="fr"/>
        </w:rPr>
        <w:t xml:space="preserve"> toutes les étapes du cycle d’un programme.</w:t>
      </w:r>
    </w:p>
    <w:p w:rsidRPr="0003348C" w:rsidR="009B6240" w:rsidP="009B6240" w:rsidRDefault="009B6240" w14:paraId="4B62F029" w14:textId="7AD96079">
      <w:r>
        <w:rPr>
          <w:lang w:val="fr"/>
        </w:rPr>
        <w:t>La redevabilité est due en première instance aux populations affectées, bien que nous reconnaissions ses multiples directions : envers les populations hôtes, les partenaires, les collègues, les autorités locales, les bailleurs de fonds et autres.</w:t>
      </w:r>
    </w:p>
    <w:p w:rsidRPr="0003348C" w:rsidR="009B6240" w:rsidP="009B6240" w:rsidRDefault="009B6240" w14:paraId="0DE6DC61" w14:textId="77777777"/>
    <w:p w:rsidRPr="0003348C" w:rsidR="009B6240" w:rsidP="5A438B80" w:rsidRDefault="009B6240" w14:paraId="6CA12796" w14:textId="77777777">
      <w:pPr>
        <w:pStyle w:val="Titre2"/>
        <w:rPr>
          <w:rFonts w:ascii="Calibri Light" w:hAnsi="Calibri Light" w:eastAsia="Yu Gothic Light" w:cs="Times New Roman"/>
          <w:b/>
          <w:bCs/>
        </w:rPr>
      </w:pPr>
      <w:r>
        <w:rPr>
          <w:lang w:val="fr"/>
        </w:rPr>
        <w:t>Qualité</w:t>
      </w:r>
    </w:p>
    <w:p w:rsidRPr="0003348C" w:rsidR="009B6240" w:rsidP="009B6240" w:rsidRDefault="009B6240" w14:paraId="7D78A817" w14:textId="6AD6D804">
      <w:r>
        <w:rPr>
          <w:lang w:val="fr"/>
        </w:rPr>
        <w:t xml:space="preserve">Sphère est l’une des plus anciennes initiatives de « qualité et redevabilité » (Q/R) dans le secteur humanitaire. Un programme humanitaire de bonne qualité est un programme à la fois </w:t>
      </w:r>
      <w:r>
        <w:rPr>
          <w:b/>
          <w:bCs/>
          <w:lang w:val="fr"/>
        </w:rPr>
        <w:t>efficace, efficient</w:t>
      </w:r>
      <w:r>
        <w:rPr>
          <w:lang w:val="fr"/>
        </w:rPr>
        <w:t xml:space="preserve"> et </w:t>
      </w:r>
      <w:r>
        <w:rPr>
          <w:b/>
          <w:bCs/>
          <w:lang w:val="fr"/>
        </w:rPr>
        <w:t>adapté</w:t>
      </w:r>
      <w:r>
        <w:rPr>
          <w:lang w:val="fr"/>
        </w:rPr>
        <w:t>.</w:t>
      </w:r>
    </w:p>
    <w:p w:rsidRPr="0003348C" w:rsidR="00533C7D" w:rsidP="009B6240" w:rsidRDefault="009B6240" w14:paraId="036FF440" w14:textId="77777777">
      <w:r>
        <w:rPr>
          <w:lang w:val="fr"/>
        </w:rPr>
        <w:t xml:space="preserve">Les interventions ne pourront être efficaces ou adaptées si les populations affectées n’y participent pas activement. </w:t>
      </w:r>
    </w:p>
    <w:p w:rsidRPr="0003348C" w:rsidR="009B6240" w:rsidP="009B6240" w:rsidRDefault="009B6240" w14:paraId="18D56B46" w14:textId="658C74BE">
      <w:r>
        <w:rPr>
          <w:lang w:val="fr"/>
        </w:rPr>
        <w:t>Les estimations sont nécessaires pour assurer l’</w:t>
      </w:r>
      <w:r>
        <w:rPr>
          <w:b/>
          <w:bCs/>
          <w:lang w:val="fr"/>
        </w:rPr>
        <w:t>adéquation</w:t>
      </w:r>
      <w:r>
        <w:rPr>
          <w:lang w:val="fr"/>
        </w:rPr>
        <w:t xml:space="preserve"> dès le début. Les suivi</w:t>
      </w:r>
      <w:r w:rsidR="002F52CF">
        <w:rPr>
          <w:lang w:val="fr"/>
        </w:rPr>
        <w:t>s</w:t>
      </w:r>
      <w:r>
        <w:rPr>
          <w:lang w:val="fr"/>
        </w:rPr>
        <w:t>-évaluations réguliers sont nécessaires pour confirmer que l’intervention atteint tous ses objectifs (</w:t>
      </w:r>
      <w:r>
        <w:rPr>
          <w:b/>
          <w:bCs/>
          <w:lang w:val="fr"/>
        </w:rPr>
        <w:t>efficace</w:t>
      </w:r>
      <w:r>
        <w:rPr>
          <w:lang w:val="fr"/>
        </w:rPr>
        <w:t>) et que les cibles sont toujours pertinentes (</w:t>
      </w:r>
      <w:r>
        <w:rPr>
          <w:b/>
          <w:bCs/>
          <w:lang w:val="fr"/>
        </w:rPr>
        <w:t>adaptées</w:t>
      </w:r>
      <w:r>
        <w:rPr>
          <w:lang w:val="fr"/>
        </w:rPr>
        <w:t xml:space="preserve"> dans la durée). Les standards et indicateurs de Sphère aident à mesurer la qualité.</w:t>
      </w:r>
    </w:p>
    <w:p w:rsidRPr="0003348C" w:rsidR="009B6240" w:rsidP="009B6240" w:rsidRDefault="000C7BB3" w14:paraId="4E812C14" w14:textId="606F3E9A">
      <w:r>
        <w:rPr>
          <w:lang w:val="fr"/>
        </w:rPr>
        <w:t>Tel que nous l’avons vu dans une activité précédente (2.1 : Quel est votre niveau de connaissance du secteur humanitaire ?), le secteur humanitaire est de plus en plus exsangue (il doit en faire plus avec moins), donc l’</w:t>
      </w:r>
      <w:r>
        <w:rPr>
          <w:b/>
          <w:bCs/>
          <w:lang w:val="fr"/>
        </w:rPr>
        <w:t>efficience</w:t>
      </w:r>
      <w:r>
        <w:rPr>
          <w:lang w:val="fr"/>
        </w:rPr>
        <w:t xml:space="preserve"> est également importante. Le nombre de personnes ayant besoin d’assistance humanitaire ne cesse de croître, mais les financements n’augmentent pas au même rythme.</w:t>
      </w:r>
    </w:p>
    <w:p w:rsidRPr="0003348C" w:rsidR="009B6240" w:rsidP="009B6240" w:rsidRDefault="009B6240" w14:paraId="4C84D853" w14:textId="77777777"/>
    <w:p w:rsidRPr="0003348C" w:rsidR="0003348C" w:rsidRDefault="0003348C" w14:paraId="68D99CCA" w14:textId="77777777">
      <w:pPr>
        <w:rPr>
          <w:b/>
          <w:bCs/>
        </w:rPr>
      </w:pPr>
      <w:r>
        <w:rPr>
          <w:b/>
          <w:bCs/>
          <w:lang w:val="fr"/>
        </w:rPr>
        <w:br w:type="page"/>
      </w:r>
    </w:p>
    <w:p w:rsidRPr="0003348C" w:rsidR="009B6240" w:rsidP="5A438B80" w:rsidRDefault="009B6240" w14:paraId="1F6BD8EC" w14:textId="26C1835F">
      <w:pPr>
        <w:pStyle w:val="Titre2"/>
        <w:rPr>
          <w:rFonts w:ascii="Calibri Light" w:hAnsi="Calibri Light" w:eastAsia="Yu Gothic Light" w:cs="Times New Roman"/>
          <w:b/>
          <w:bCs/>
        </w:rPr>
      </w:pPr>
      <w:r>
        <w:rPr>
          <w:lang w:val="fr"/>
        </w:rPr>
        <w:lastRenderedPageBreak/>
        <w:t>Inclusion</w:t>
      </w:r>
    </w:p>
    <w:p w:rsidRPr="0003348C" w:rsidR="001F1523" w:rsidP="009B6240" w:rsidRDefault="00480D23" w14:paraId="729A5D0D" w14:textId="0DE18B7A">
      <w:r>
        <w:rPr>
          <w:lang w:val="fr"/>
        </w:rPr>
        <w:t xml:space="preserve">Toutes les personnes touchées par une crise doivent avoir la possibilité de participer activement, notamment les groupes à risque et marginalisés. </w:t>
      </w:r>
      <w:r w:rsidR="0095030E">
        <w:rPr>
          <w:lang w:val="fr"/>
        </w:rPr>
        <w:t>Il faut aller</w:t>
      </w:r>
      <w:r>
        <w:rPr>
          <w:lang w:val="fr"/>
        </w:rPr>
        <w:t xml:space="preserve"> à la recherche des voix tues.</w:t>
      </w:r>
    </w:p>
    <w:p w:rsidRPr="0003348C" w:rsidR="009B6240" w:rsidP="00B222E4" w:rsidRDefault="00480D23" w14:paraId="076D9760" w14:textId="6B2CFFE2">
      <w:r>
        <w:rPr>
          <w:lang w:val="fr"/>
        </w:rPr>
        <w:t>Identifiez et travaillez avec les organisations de personnes en situation de handicap : ce sont des expertes du handicap et de l’inclusion. Rappelez le slogan de la communauté des personnes en situation de handicap : « Rien pour nous, sans nous ». Consultez le modèle social du handicap, qui affirme que le handicap est le produit d’une entrave et d’obstacles sociaux.</w:t>
      </w:r>
    </w:p>
    <w:p w:rsidRPr="0003348C" w:rsidR="00C16358" w:rsidP="00D05E9F" w:rsidRDefault="00D05E9F" w14:paraId="347B44D5" w14:textId="56ACB1AE">
      <w:r>
        <w:rPr>
          <w:lang w:val="fr"/>
        </w:rPr>
        <w:t xml:space="preserve">Consultez les </w:t>
      </w:r>
      <w:r>
        <w:rPr>
          <w:i/>
          <w:iCs/>
          <w:lang w:val="fr"/>
        </w:rPr>
        <w:t>Normes d’inclusion humanitaire pour les personnes âgées et les personnes handicapées</w:t>
      </w:r>
      <w:r>
        <w:rPr>
          <w:lang w:val="fr"/>
        </w:rPr>
        <w:t xml:space="preserve">, sans oublier que </w:t>
      </w:r>
      <w:r w:rsidR="00AF029E">
        <w:rPr>
          <w:lang w:val="fr"/>
        </w:rPr>
        <w:t xml:space="preserve">l’on peut être </w:t>
      </w:r>
      <w:r w:rsidR="00AF029E">
        <w:rPr>
          <w:lang w:val="fr"/>
        </w:rPr>
        <w:t>à risque</w:t>
      </w:r>
      <w:r w:rsidR="00AF029E">
        <w:rPr>
          <w:lang w:val="fr"/>
        </w:rPr>
        <w:t xml:space="preserve"> du fait de </w:t>
      </w:r>
      <w:r>
        <w:rPr>
          <w:lang w:val="fr"/>
        </w:rPr>
        <w:t>plusieurs facteurs</w:t>
      </w:r>
      <w:r w:rsidR="00AF029E">
        <w:rPr>
          <w:lang w:val="fr"/>
        </w:rPr>
        <w:t> :</w:t>
      </w:r>
      <w:r>
        <w:rPr>
          <w:lang w:val="fr"/>
        </w:rPr>
        <w:t xml:space="preserve"> le genre, la sexualité, l’état de santé, les convictions religieuses, </w:t>
      </w:r>
      <w:r w:rsidR="00AF029E">
        <w:rPr>
          <w:lang w:val="fr"/>
        </w:rPr>
        <w:t xml:space="preserve">notamment, ainsi que </w:t>
      </w:r>
      <w:r>
        <w:rPr>
          <w:lang w:val="fr"/>
        </w:rPr>
        <w:t>l’âge et le statut de handicap.</w:t>
      </w:r>
    </w:p>
    <w:p w:rsidRPr="0003348C" w:rsidR="009B6240" w:rsidP="00D05E9F" w:rsidRDefault="009B6240" w14:paraId="1254F5D9" w14:textId="163637B7">
      <w:r>
        <w:rPr>
          <w:lang w:val="fr"/>
        </w:rPr>
        <w:t xml:space="preserve">Le deuxième principe du Code de conduite affirme que « [l]es priorités en matière d’assistance sont déterminées en fonction des seuls besoins ». Tout le monde réagit différemment à une crise. Les groupes les plus à risque avant une crise sont généralement plus fortement impactés par les crises, sont moins capables d’accéder à l’aide humanitaire et ont dès lors un plus grand besoin d’assistance. Il est donc de la responsabilité des organisations humanitaires d’identifier les groupes </w:t>
      </w:r>
      <w:r w:rsidR="002F52CF">
        <w:rPr>
          <w:lang w:val="fr"/>
        </w:rPr>
        <w:t>à risque</w:t>
      </w:r>
      <w:r>
        <w:rPr>
          <w:lang w:val="fr"/>
        </w:rPr>
        <w:t xml:space="preserve"> et de leur apporter une aide en priorité.</w:t>
      </w:r>
    </w:p>
    <w:sectPr w:rsidRPr="0003348C" w:rsidR="009B6240" w:rsidSect="00A36C3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9" w:h="16834" w:orient="portrait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04CD" w:rsidRDefault="00BB04CD" w14:paraId="798BD178" w14:textId="77777777">
      <w:pPr>
        <w:spacing w:after="0" w:line="240" w:lineRule="auto"/>
      </w:pPr>
      <w:r>
        <w:separator/>
      </w:r>
    </w:p>
  </w:endnote>
  <w:endnote w:type="continuationSeparator" w:id="0">
    <w:p w:rsidR="00BB04CD" w:rsidRDefault="00BB04CD" w14:paraId="22F40C3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52CF" w:rsidRDefault="002F52CF" w14:paraId="4DEB9AA8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438B80" w:rsidTr="5EC402DB" w14:paraId="707DC925" w14:textId="77777777">
      <w:tc>
        <w:tcPr>
          <w:tcW w:w="3005" w:type="dxa"/>
        </w:tcPr>
        <w:p w:rsidR="5A438B80" w:rsidP="5A438B80" w:rsidRDefault="5A438B80" w14:paraId="3E6FFEEB" w14:textId="1A004385">
          <w:pPr>
            <w:pStyle w:val="En-tte"/>
            <w:ind w:left="-115"/>
            <w:rPr>
              <w:rFonts w:ascii="Calibri" w:hAnsi="Calibri" w:eastAsia="Calibri" w:cs="Arial"/>
            </w:rPr>
          </w:pPr>
          <w:r>
            <w:rPr>
              <w:lang w:val="fr"/>
            </w:rPr>
            <w:fldChar w:fldCharType="begin"/>
          </w:r>
          <w:r>
            <w:rPr>
              <w:lang w:val="fr"/>
            </w:rPr>
            <w:instrText>PAGE</w:instrText>
          </w:r>
          <w:r w:rsidR="00000000">
            <w:rPr>
              <w:lang w:val="fr"/>
            </w:rPr>
            <w:fldChar w:fldCharType="separate"/>
          </w:r>
          <w:r w:rsidR="002F52CF">
            <w:rPr>
              <w:noProof/>
              <w:lang w:val="fr"/>
            </w:rPr>
            <w:t>1</w:t>
          </w:r>
          <w:r>
            <w:rPr>
              <w:lang w:val="fr"/>
            </w:rPr>
            <w:fldChar w:fldCharType="end"/>
          </w:r>
        </w:p>
      </w:tc>
      <w:tc>
        <w:tcPr>
          <w:tcW w:w="3005" w:type="dxa"/>
        </w:tcPr>
        <w:p w:rsidR="5A438B80" w:rsidP="5A438B80" w:rsidRDefault="5A438B80" w14:paraId="5736A8F4" w14:textId="79C45E86">
          <w:pPr>
            <w:pStyle w:val="En-tte"/>
            <w:jc w:val="center"/>
            <w:rPr>
              <w:rFonts w:ascii="Calibri" w:hAnsi="Calibri" w:eastAsia="Calibri" w:cs="Arial"/>
            </w:rPr>
          </w:pPr>
        </w:p>
      </w:tc>
      <w:tc>
        <w:tcPr>
          <w:tcW w:w="3005" w:type="dxa"/>
        </w:tcPr>
        <w:p w:rsidR="5A438B80" w:rsidP="5A438B80" w:rsidRDefault="5A438B80" w14:paraId="1711286A" w14:textId="18D8EAAC">
          <w:pPr>
            <w:pStyle w:val="En-tte"/>
            <w:ind w:right="-115"/>
            <w:jc w:val="right"/>
            <w:rPr>
              <w:rFonts w:ascii="Calibri" w:hAnsi="Calibri" w:eastAsia="Calibri" w:cs="Arial"/>
            </w:rPr>
          </w:pPr>
        </w:p>
      </w:tc>
    </w:tr>
  </w:tbl>
  <w:p w:rsidR="5A438B80" w:rsidP="5A438B80" w:rsidRDefault="5A438B80" w14:paraId="3AE69C41" w14:textId="559864DC">
    <w:pPr>
      <w:pStyle w:val="Pieddepage"/>
      <w:rPr>
        <w:rFonts w:ascii="Calibri" w:hAnsi="Calibri" w:eastAsia="Calibri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52CF" w:rsidRDefault="002F52CF" w14:paraId="30911DB5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04CD" w:rsidRDefault="00BB04CD" w14:paraId="541CC99F" w14:textId="77777777">
      <w:pPr>
        <w:spacing w:after="0" w:line="240" w:lineRule="auto"/>
      </w:pPr>
      <w:r>
        <w:separator/>
      </w:r>
    </w:p>
  </w:footnote>
  <w:footnote w:type="continuationSeparator" w:id="0">
    <w:p w:rsidR="00BB04CD" w:rsidRDefault="00BB04CD" w14:paraId="2E74F97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52CF" w:rsidRDefault="002F52CF" w14:paraId="1330CE8E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438B80" w:rsidTr="5A438B80" w14:paraId="54E61F8D" w14:textId="77777777">
      <w:tc>
        <w:tcPr>
          <w:tcW w:w="3005" w:type="dxa"/>
        </w:tcPr>
        <w:p w:rsidR="5A438B80" w:rsidP="5A438B80" w:rsidRDefault="5A438B80" w14:paraId="7BF3EA14" w14:textId="5BF6CDEA">
          <w:pPr>
            <w:pStyle w:val="En-tte"/>
            <w:ind w:left="-115"/>
            <w:rPr>
              <w:rFonts w:ascii="Calibri" w:hAnsi="Calibri" w:eastAsia="Calibri" w:cs="Arial"/>
            </w:rPr>
          </w:pPr>
        </w:p>
      </w:tc>
      <w:tc>
        <w:tcPr>
          <w:tcW w:w="3005" w:type="dxa"/>
        </w:tcPr>
        <w:p w:rsidR="5A438B80" w:rsidP="5A438B80" w:rsidRDefault="5A438B80" w14:paraId="788C9095" w14:textId="4257BAA8">
          <w:pPr>
            <w:pStyle w:val="En-tte"/>
            <w:jc w:val="center"/>
            <w:rPr>
              <w:rFonts w:ascii="Calibri" w:hAnsi="Calibri" w:eastAsia="Calibri" w:cs="Arial"/>
            </w:rPr>
          </w:pPr>
        </w:p>
      </w:tc>
      <w:tc>
        <w:tcPr>
          <w:tcW w:w="3005" w:type="dxa"/>
        </w:tcPr>
        <w:p w:rsidR="5A438B80" w:rsidP="5A438B80" w:rsidRDefault="5A438B80" w14:paraId="07A06B81" w14:textId="316E4DD6">
          <w:pPr>
            <w:pStyle w:val="En-tte"/>
            <w:ind w:right="-115"/>
            <w:jc w:val="right"/>
            <w:rPr>
              <w:rFonts w:ascii="Calibri" w:hAnsi="Calibri" w:eastAsia="Calibri" w:cs="Arial"/>
            </w:rPr>
          </w:pPr>
          <w:r>
            <w:rPr>
              <w:noProof/>
              <w:lang w:val="fr"/>
            </w:rPr>
            <w:drawing>
              <wp:inline distT="0" distB="0" distL="0" distR="0" wp14:anchorId="6F250844" wp14:editId="5A6FC912">
                <wp:extent cx="1276350" cy="590550"/>
                <wp:effectExtent l="0" t="0" r="0" b="0"/>
                <wp:docPr id="1829248646" name="Image 18292486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5A438B80" w:rsidP="5A438B80" w:rsidRDefault="5A438B80" w14:paraId="5F4CC0B0" w14:textId="59B9A55B">
    <w:pPr>
      <w:pStyle w:val="En-tte"/>
      <w:rPr>
        <w:rFonts w:ascii="Calibri" w:hAnsi="Calibri" w:eastAsia="Calibri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52CF" w:rsidRDefault="002F52CF" w14:paraId="208DA053" w14:textId="77777777">
    <w:pPr>
      <w:pStyle w:val="En-tte"/>
    </w:pP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dirty"/>
  <w:trackRevisions w:val="false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D11"/>
    <w:rsid w:val="0003348C"/>
    <w:rsid w:val="0006675F"/>
    <w:rsid w:val="000C7BB3"/>
    <w:rsid w:val="001406C9"/>
    <w:rsid w:val="001F1523"/>
    <w:rsid w:val="00214D11"/>
    <w:rsid w:val="0028620A"/>
    <w:rsid w:val="002B056E"/>
    <w:rsid w:val="002D7BDC"/>
    <w:rsid w:val="002F52CF"/>
    <w:rsid w:val="00301F96"/>
    <w:rsid w:val="003C4FE3"/>
    <w:rsid w:val="00436242"/>
    <w:rsid w:val="00480D23"/>
    <w:rsid w:val="00533C7D"/>
    <w:rsid w:val="00594D8C"/>
    <w:rsid w:val="005A4D71"/>
    <w:rsid w:val="005C4E74"/>
    <w:rsid w:val="00784239"/>
    <w:rsid w:val="007B1DB4"/>
    <w:rsid w:val="007D0443"/>
    <w:rsid w:val="007E76D4"/>
    <w:rsid w:val="008241B1"/>
    <w:rsid w:val="008C433E"/>
    <w:rsid w:val="0095030E"/>
    <w:rsid w:val="0095654B"/>
    <w:rsid w:val="009711D0"/>
    <w:rsid w:val="009B6240"/>
    <w:rsid w:val="00A00F58"/>
    <w:rsid w:val="00A36C35"/>
    <w:rsid w:val="00AF029E"/>
    <w:rsid w:val="00B222E4"/>
    <w:rsid w:val="00B573C6"/>
    <w:rsid w:val="00BB04CD"/>
    <w:rsid w:val="00BC774F"/>
    <w:rsid w:val="00C16358"/>
    <w:rsid w:val="00C3070F"/>
    <w:rsid w:val="00C365A1"/>
    <w:rsid w:val="00C468E9"/>
    <w:rsid w:val="00CC187C"/>
    <w:rsid w:val="00D05E9F"/>
    <w:rsid w:val="12D6547E"/>
    <w:rsid w:val="148B4651"/>
    <w:rsid w:val="18BE421D"/>
    <w:rsid w:val="26D2CCB1"/>
    <w:rsid w:val="290EACC9"/>
    <w:rsid w:val="387CC325"/>
    <w:rsid w:val="4DED8369"/>
    <w:rsid w:val="54A037F6"/>
    <w:rsid w:val="5A438B80"/>
    <w:rsid w:val="5EC402DB"/>
    <w:rsid w:val="65B9B642"/>
    <w:rsid w:val="7989D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3CF65"/>
  <w15:chartTrackingRefBased/>
  <w15:docId w15:val="{7B7BF612-401B-4D8A-97EF-4C81D3CE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B6240"/>
    <w:rPr>
      <w:rFonts w:eastAsiaTheme="minorHAnsi"/>
      <w:lang w:val="en-GB" w:eastAsia="en-US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Pr>
      <w:rFonts w:eastAsiaTheme="minorHAnsi"/>
      <w:sz w:val="20"/>
      <w:szCs w:val="20"/>
      <w:lang w:val="en-GB" w:eastAsia="en-US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BC774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C774F"/>
    <w:rPr>
      <w:color w:val="605E5C"/>
      <w:shd w:val="clear" w:color="auto" w:fill="E1DFDD"/>
    </w:rPr>
  </w:style>
  <w:style w:type="character" w:styleId="Titre1Car" w:customStyle="1">
    <w:name w:val="Titre 1 Car"/>
    <w:basedOn w:val="Policepardfaut"/>
    <w:link w:val="Titre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Titre2Car" w:customStyle="1">
    <w:name w:val="Titre 2 Car"/>
    <w:basedOn w:val="Policepardfaut"/>
    <w:link w:val="Titre2"/>
    <w:uiPriority w:val="9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En-tteCar" w:customStyle="1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2F52CF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C433E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8C433E"/>
    <w:rPr>
      <w:rFonts w:eastAsiaTheme="minorHAnsi"/>
      <w:b/>
      <w:bCs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footnotes" Target="footnotes.xml" Id="rId7" /><Relationship Type="http://schemas.microsoft.com/office/2016/09/relationships/commentsIds" Target="commentsIds.xm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microsoft.com/office/2011/relationships/commentsExtended" Target="commentsExtended.xml" Id="rId11" /><Relationship Type="http://schemas.openxmlformats.org/officeDocument/2006/relationships/settings" Target="settings.xml" Id="rId5" /><Relationship Type="http://schemas.openxmlformats.org/officeDocument/2006/relationships/header" Target="header1.xml" Id="rId15" /><Relationship Type="http://schemas.openxmlformats.org/officeDocument/2006/relationships/theme" Target="theme/theme1.xml" Id="rId23" /><Relationship Type="http://schemas.openxmlformats.org/officeDocument/2006/relationships/header" Target="header3.xml" Id="rId19" /><Relationship Type="http://schemas.openxmlformats.org/officeDocument/2006/relationships/styles" Target="styles.xml" Id="rId4" /><Relationship Type="http://schemas.openxmlformats.org/officeDocument/2006/relationships/hyperlink" Target="https://emergency.unhcr.org/entry/42554/accountability-to-affected-populations-aap" TargetMode="External" Id="rId9" /><Relationship Type="http://schemas.microsoft.com/office/2011/relationships/people" Target="people.xml" Id="rId22" /><Relationship Type="http://schemas.openxmlformats.org/officeDocument/2006/relationships/hyperlink" Target="https://www.iom.int/fr/responsabilite-legard-des-populations-touchees" TargetMode="External" Id="R0b553acd49484a68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355b3f0-e072-4ae3-b261-722c43fa6e26" xsi:nil="true"/>
    <lcf76f155ced4ddcb4097134ff3c332f xmlns="1355b3f0-e072-4ae3-b261-722c43fa6e26">
      <Terms xmlns="http://schemas.microsoft.com/office/infopath/2007/PartnerControls"/>
    </lcf76f155ced4ddcb4097134ff3c332f>
    <TaxCatchAll xmlns="9051fefc-2ea4-4620-a82b-61f19e316bb6" xsi:nil="true"/>
    <SharedWithUsers xmlns="9051fefc-2ea4-4620-a82b-61f19e316bb6">
      <UserInfo>
        <DisplayName/>
        <AccountId xsi:nil="true"/>
        <AccountType/>
      </UserInfo>
    </SharedWithUsers>
    <MediaLengthInSeconds xmlns="1355b3f0-e072-4ae3-b261-722c43fa6e2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548E345B6D594AAA06BAD71EA843DF" ma:contentTypeVersion="17" ma:contentTypeDescription="Create a new document." ma:contentTypeScope="" ma:versionID="27943c6b80f0f39d6ddcdeaead66d061">
  <xsd:schema xmlns:xsd="http://www.w3.org/2001/XMLSchema" xmlns:xs="http://www.w3.org/2001/XMLSchema" xmlns:p="http://schemas.microsoft.com/office/2006/metadata/properties" xmlns:ns2="1355b3f0-e072-4ae3-b261-722c43fa6e26" xmlns:ns3="9051fefc-2ea4-4620-a82b-61f19e316bb6" targetNamespace="http://schemas.microsoft.com/office/2006/metadata/properties" ma:root="true" ma:fieldsID="0d10aba7434b7a129700691a02125503" ns2:_="" ns3:_="">
    <xsd:import namespace="1355b3f0-e072-4ae3-b261-722c43fa6e26"/>
    <xsd:import namespace="9051fefc-2ea4-4620-a82b-61f19e316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5b3f0-e072-4ae3-b261-722c43fa6e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État de validation" ma:internalName="_x00c9_tat_x0020_de_x0020_validation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c2c48a7-3976-43da-8c19-cb30e3e77c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1fefc-2ea4-4620-a82b-61f19e316bb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403d0eb-ff5c-4829-9fc3-59ef669ebb52}" ma:internalName="TaxCatchAll" ma:showField="CatchAllData" ma:web="9051fefc-2ea4-4620-a82b-61f19e316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07BE32-FD83-45DB-B13F-16F9863ACEE4}">
  <ds:schemaRefs>
    <ds:schemaRef ds:uri="http://schemas.microsoft.com/office/2006/metadata/properties"/>
    <ds:schemaRef ds:uri="http://schemas.microsoft.com/office/infopath/2007/PartnerControls"/>
    <ds:schemaRef ds:uri="1355b3f0-e072-4ae3-b261-722c43fa6e26"/>
  </ds:schemaRefs>
</ds:datastoreItem>
</file>

<file path=customXml/itemProps2.xml><?xml version="1.0" encoding="utf-8"?>
<ds:datastoreItem xmlns:ds="http://schemas.openxmlformats.org/officeDocument/2006/customXml" ds:itemID="{13D47BAF-D51D-4620-B399-8B7237AB72D3}"/>
</file>

<file path=customXml/itemProps3.xml><?xml version="1.0" encoding="utf-8"?>
<ds:datastoreItem xmlns:ds="http://schemas.openxmlformats.org/officeDocument/2006/customXml" ds:itemID="{D5A0D1A6-08D5-40B8-A561-F24AABE4F5A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Tristan Hale</dc:creator>
  <cp:keywords/>
  <dc:description/>
  <cp:lastModifiedBy>Felicity Fallon</cp:lastModifiedBy>
  <cp:revision>36</cp:revision>
  <dcterms:created xsi:type="dcterms:W3CDTF">2021-12-01T08:15:00Z</dcterms:created>
  <dcterms:modified xsi:type="dcterms:W3CDTF">2022-08-12T12:16:54Z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0x01010040548E345B6D594AAA06BAD71EA843DF</vt:lpwstr>
  </property>
  <property fmtid="{D5CDD505-2E9C-101B-9397-08002B2CF9AE}" pid="3" name="Order">
    <vt:r8>45400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