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F6359" w14:textId="77777777" w:rsidR="00597290" w:rsidRDefault="00000000">
      <w:pPr>
        <w:pStyle w:val="Title"/>
        <w:spacing w:line="276" w:lineRule="auto"/>
        <w:jc w:val="center"/>
        <w:rPr>
          <w:rFonts w:ascii="Oswald" w:eastAsia="Oswald" w:hAnsi="Oswald" w:cs="Oswald"/>
          <w:sz w:val="36"/>
          <w:szCs w:val="36"/>
        </w:rPr>
      </w:pPr>
      <w:r>
        <w:rPr>
          <w:rFonts w:ascii="Oswald" w:eastAsia="Oswald" w:hAnsi="Oswald" w:cs="Oswald"/>
          <w:sz w:val="36"/>
          <w:szCs w:val="36"/>
        </w:rPr>
        <w:t>Sphere Standards in Urban Contexts</w:t>
      </w:r>
    </w:p>
    <w:p w14:paraId="1943158E" w14:textId="77777777" w:rsidR="00597290" w:rsidRDefault="00000000">
      <w:pPr>
        <w:pStyle w:val="Subtitle"/>
        <w:jc w:val="center"/>
        <w:rPr>
          <w:rFonts w:ascii="Oswald" w:eastAsia="Oswald" w:hAnsi="Oswald" w:cs="Oswald"/>
        </w:rPr>
      </w:pPr>
      <w:r>
        <w:rPr>
          <w:rFonts w:ascii="Oswald" w:eastAsia="Oswald" w:hAnsi="Oswald" w:cs="Oswald"/>
          <w:sz w:val="28"/>
          <w:szCs w:val="28"/>
        </w:rPr>
        <w:t>Course Outline</w:t>
      </w:r>
    </w:p>
    <w:p w14:paraId="3D9EB713" w14:textId="77777777" w:rsidR="00597290" w:rsidRDefault="00000000">
      <w:pPr>
        <w:jc w:val="center"/>
      </w:pPr>
      <w:r>
        <w:t>Developed by:</w:t>
      </w:r>
    </w:p>
    <w:p w14:paraId="3C558FB1" w14:textId="77777777" w:rsidR="00597290" w:rsidRDefault="00000000">
      <w:pPr>
        <w:pStyle w:val="Heading1"/>
      </w:pPr>
      <w:r>
        <w:t>High-Level Training Structure:</w:t>
      </w:r>
    </w:p>
    <w:p w14:paraId="3976492D" w14:textId="77777777" w:rsidR="00597290" w:rsidRDefault="00000000">
      <w:pPr>
        <w:rPr>
          <w:rFonts w:ascii="Times New Roman" w:eastAsia="Times New Roman" w:hAnsi="Times New Roman" w:cs="Times New Roman"/>
        </w:rPr>
      </w:pPr>
      <w:r>
        <w:rPr>
          <w:rFonts w:ascii="Times New Roman" w:eastAsia="Times New Roman" w:hAnsi="Times New Roman" w:cs="Times New Roman"/>
          <w:noProof/>
        </w:rPr>
        <mc:AlternateContent>
          <mc:Choice Requires="wpg">
            <w:drawing>
              <wp:inline distT="0" distB="0" distL="0" distR="0" wp14:anchorId="3F064DA2" wp14:editId="6FDD103F">
                <wp:extent cx="5931523" cy="2728913"/>
                <wp:effectExtent l="0" t="0" r="0" b="0"/>
                <wp:docPr id="1" name="Group 1"/>
                <wp:cNvGraphicFramePr/>
                <a:graphic xmlns:a="http://schemas.openxmlformats.org/drawingml/2006/main">
                  <a:graphicData uri="http://schemas.microsoft.com/office/word/2010/wordprocessingGroup">
                    <wpg:wgp>
                      <wpg:cNvGrpSpPr/>
                      <wpg:grpSpPr>
                        <a:xfrm>
                          <a:off x="0" y="0"/>
                          <a:ext cx="5931523" cy="2728913"/>
                          <a:chOff x="0" y="0"/>
                          <a:chExt cx="5490025" cy="2514600"/>
                        </a:xfrm>
                      </wpg:grpSpPr>
                      <wpg:grpSp>
                        <wpg:cNvPr id="1095665082" name="Group 1095665082"/>
                        <wpg:cNvGrpSpPr/>
                        <wpg:grpSpPr>
                          <a:xfrm>
                            <a:off x="0" y="0"/>
                            <a:ext cx="5486400" cy="2514600"/>
                            <a:chOff x="0" y="0"/>
                            <a:chExt cx="5486400" cy="2514600"/>
                          </a:xfrm>
                        </wpg:grpSpPr>
                        <wps:wsp>
                          <wps:cNvPr id="2032315834" name="Rectangle 2032315834"/>
                          <wps:cNvSpPr/>
                          <wps:spPr>
                            <a:xfrm>
                              <a:off x="0" y="0"/>
                              <a:ext cx="5486400" cy="2514600"/>
                            </a:xfrm>
                            <a:prstGeom prst="rect">
                              <a:avLst/>
                            </a:prstGeom>
                            <a:noFill/>
                            <a:ln>
                              <a:noFill/>
                            </a:ln>
                          </wps:spPr>
                          <wps:txbx>
                            <w:txbxContent>
                              <w:p w14:paraId="0EC53D45" w14:textId="77777777" w:rsidR="00597290" w:rsidRDefault="00597290">
                                <w:pPr>
                                  <w:spacing w:after="0" w:line="240" w:lineRule="auto"/>
                                  <w:textDirection w:val="btLr"/>
                                </w:pPr>
                              </w:p>
                            </w:txbxContent>
                          </wps:txbx>
                          <wps:bodyPr spcFirstLastPara="1" wrap="square" lIns="91425" tIns="91425" rIns="91425" bIns="91425" anchor="ctr" anchorCtr="0">
                            <a:noAutofit/>
                          </wps:bodyPr>
                        </wps:wsp>
                        <wps:wsp>
                          <wps:cNvPr id="1484685628" name="Rounded Rectangle 1484685628"/>
                          <wps:cNvSpPr/>
                          <wps:spPr>
                            <a:xfrm>
                              <a:off x="2728" y="204875"/>
                              <a:ext cx="1240708" cy="1275713"/>
                            </a:xfrm>
                            <a:prstGeom prst="roundRect">
                              <a:avLst>
                                <a:gd name="adj" fmla="val 10000"/>
                              </a:avLst>
                            </a:prstGeom>
                            <a:solidFill>
                              <a:srgbClr val="4372C3"/>
                            </a:solidFill>
                            <a:ln w="12700" cap="flat" cmpd="sng">
                              <a:solidFill>
                                <a:schemeClr val="lt1"/>
                              </a:solidFill>
                              <a:prstDash val="solid"/>
                              <a:miter lim="800000"/>
                              <a:headEnd type="none" w="sm" len="sm"/>
                              <a:tailEnd type="none" w="sm" len="sm"/>
                            </a:ln>
                          </wps:spPr>
                          <wps:txbx>
                            <w:txbxContent>
                              <w:p w14:paraId="1AE48A83" w14:textId="77777777" w:rsidR="00597290" w:rsidRDefault="00597290">
                                <w:pPr>
                                  <w:spacing w:after="0" w:line="240" w:lineRule="auto"/>
                                  <w:textDirection w:val="btLr"/>
                                </w:pPr>
                              </w:p>
                            </w:txbxContent>
                          </wps:txbx>
                          <wps:bodyPr spcFirstLastPara="1" wrap="square" lIns="91425" tIns="91425" rIns="91425" bIns="91425" anchor="ctr" anchorCtr="0">
                            <a:noAutofit/>
                          </wps:bodyPr>
                        </wps:wsp>
                        <wps:wsp>
                          <wps:cNvPr id="7949790" name="Text Box 7949790"/>
                          <wps:cNvSpPr txBox="1"/>
                          <wps:spPr>
                            <a:xfrm>
                              <a:off x="2728" y="204875"/>
                              <a:ext cx="1240708" cy="850475"/>
                            </a:xfrm>
                            <a:prstGeom prst="rect">
                              <a:avLst/>
                            </a:prstGeom>
                            <a:noFill/>
                            <a:ln>
                              <a:noFill/>
                            </a:ln>
                          </wps:spPr>
                          <wps:txbx>
                            <w:txbxContent>
                              <w:p w14:paraId="10E3CBA9" w14:textId="77777777" w:rsidR="00597290" w:rsidRDefault="00000000">
                                <w:pPr>
                                  <w:spacing w:after="0" w:line="215" w:lineRule="auto"/>
                                  <w:textDirection w:val="btLr"/>
                                </w:pPr>
                                <w:r>
                                  <w:rPr>
                                    <w:rFonts w:ascii="Calibri" w:eastAsia="Calibri" w:hAnsi="Calibri" w:cs="Calibri"/>
                                    <w:color w:val="000000"/>
                                    <w:sz w:val="18"/>
                                  </w:rPr>
                                  <w:t>Introduction to Humanitarian Response in Urban Contexts</w:t>
                                </w:r>
                              </w:p>
                              <w:p w14:paraId="0E08C713" w14:textId="77777777" w:rsidR="00597290" w:rsidRDefault="00597290">
                                <w:pPr>
                                  <w:spacing w:after="0" w:line="215" w:lineRule="auto"/>
                                  <w:textDirection w:val="btLr"/>
                                </w:pPr>
                              </w:p>
                            </w:txbxContent>
                          </wps:txbx>
                          <wps:bodyPr spcFirstLastPara="1" wrap="square" lIns="64000" tIns="64000" rIns="64000" bIns="34275" anchor="t" anchorCtr="0">
                            <a:noAutofit/>
                          </wps:bodyPr>
                        </wps:wsp>
                        <wps:wsp>
                          <wps:cNvPr id="1541593447" name="Rounded Rectangle 1541593447"/>
                          <wps:cNvSpPr/>
                          <wps:spPr>
                            <a:xfrm>
                              <a:off x="256849" y="963099"/>
                              <a:ext cx="1240708" cy="1346625"/>
                            </a:xfrm>
                            <a:prstGeom prst="roundRect">
                              <a:avLst>
                                <a:gd name="adj" fmla="val 1000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14:paraId="35952A37" w14:textId="77777777" w:rsidR="00597290" w:rsidRDefault="00597290">
                                <w:pPr>
                                  <w:spacing w:after="0" w:line="240" w:lineRule="auto"/>
                                  <w:textDirection w:val="btLr"/>
                                </w:pPr>
                              </w:p>
                            </w:txbxContent>
                          </wps:txbx>
                          <wps:bodyPr spcFirstLastPara="1" wrap="square" lIns="91425" tIns="91425" rIns="91425" bIns="91425" anchor="ctr" anchorCtr="0">
                            <a:noAutofit/>
                          </wps:bodyPr>
                        </wps:wsp>
                        <wps:wsp>
                          <wps:cNvPr id="790870175" name="Text Box 790870175"/>
                          <wps:cNvSpPr txBox="1"/>
                          <wps:spPr>
                            <a:xfrm>
                              <a:off x="293188" y="999438"/>
                              <a:ext cx="1168030" cy="1273947"/>
                            </a:xfrm>
                            <a:prstGeom prst="rect">
                              <a:avLst/>
                            </a:prstGeom>
                            <a:noFill/>
                            <a:ln>
                              <a:noFill/>
                            </a:ln>
                          </wps:spPr>
                          <wps:txbx>
                            <w:txbxContent>
                              <w:p w14:paraId="1A881FAA" w14:textId="77777777" w:rsidR="00597290" w:rsidRDefault="00000000">
                                <w:pPr>
                                  <w:spacing w:after="0" w:line="215" w:lineRule="auto"/>
                                  <w:ind w:left="90" w:firstLine="90"/>
                                  <w:textDirection w:val="btLr"/>
                                </w:pPr>
                                <w:r>
                                  <w:rPr>
                                    <w:rFonts w:ascii="Calibri" w:eastAsia="Calibri" w:hAnsi="Calibri" w:cs="Calibri"/>
                                    <w:color w:val="000000"/>
                                    <w:sz w:val="18"/>
                                  </w:rPr>
                                  <w:t xml:space="preserve">Provide participants with a clear base understanding of the challenges, opportunities, and key considerations of operating in urban </w:t>
                                </w:r>
                                <w:proofErr w:type="gramStart"/>
                                <w:r>
                                  <w:rPr>
                                    <w:rFonts w:ascii="Calibri" w:eastAsia="Calibri" w:hAnsi="Calibri" w:cs="Calibri"/>
                                    <w:color w:val="000000"/>
                                    <w:sz w:val="18"/>
                                  </w:rPr>
                                  <w:t>contexts</w:t>
                                </w:r>
                                <w:proofErr w:type="gramEnd"/>
                              </w:p>
                            </w:txbxContent>
                          </wps:txbx>
                          <wps:bodyPr spcFirstLastPara="1" wrap="square" lIns="64000" tIns="64000" rIns="64000" bIns="64000" anchor="t" anchorCtr="0">
                            <a:noAutofit/>
                          </wps:bodyPr>
                        </wps:wsp>
                        <wps:wsp>
                          <wps:cNvPr id="1080946937" name="Right Arrow 1080946937"/>
                          <wps:cNvSpPr/>
                          <wps:spPr>
                            <a:xfrm>
                              <a:off x="1431524" y="475663"/>
                              <a:ext cx="398744" cy="308900"/>
                            </a:xfrm>
                            <a:prstGeom prst="rightArrow">
                              <a:avLst>
                                <a:gd name="adj1" fmla="val 60000"/>
                                <a:gd name="adj2" fmla="val 50000"/>
                              </a:avLst>
                            </a:prstGeom>
                            <a:solidFill>
                              <a:srgbClr val="ABBADE"/>
                            </a:solidFill>
                            <a:ln>
                              <a:noFill/>
                            </a:ln>
                          </wps:spPr>
                          <wps:txbx>
                            <w:txbxContent>
                              <w:p w14:paraId="1C0B89EE" w14:textId="77777777" w:rsidR="00597290" w:rsidRDefault="00597290">
                                <w:pPr>
                                  <w:spacing w:after="0" w:line="240" w:lineRule="auto"/>
                                  <w:textDirection w:val="btLr"/>
                                </w:pPr>
                              </w:p>
                            </w:txbxContent>
                          </wps:txbx>
                          <wps:bodyPr spcFirstLastPara="1" wrap="square" lIns="91425" tIns="91425" rIns="91425" bIns="91425" anchor="ctr" anchorCtr="0">
                            <a:noAutofit/>
                          </wps:bodyPr>
                        </wps:wsp>
                        <wps:wsp>
                          <wps:cNvPr id="1613000619" name="Text Box 1613000619"/>
                          <wps:cNvSpPr txBox="1"/>
                          <wps:spPr>
                            <a:xfrm>
                              <a:off x="1431524" y="537443"/>
                              <a:ext cx="306074" cy="185340"/>
                            </a:xfrm>
                            <a:prstGeom prst="rect">
                              <a:avLst/>
                            </a:prstGeom>
                            <a:noFill/>
                            <a:ln>
                              <a:noFill/>
                            </a:ln>
                          </wps:spPr>
                          <wps:txbx>
                            <w:txbxContent>
                              <w:p w14:paraId="6CBB00B7" w14:textId="77777777" w:rsidR="00597290" w:rsidRDefault="00597290">
                                <w:pPr>
                                  <w:spacing w:after="0" w:line="215" w:lineRule="auto"/>
                                  <w:jc w:val="center"/>
                                  <w:textDirection w:val="btLr"/>
                                </w:pPr>
                              </w:p>
                            </w:txbxContent>
                          </wps:txbx>
                          <wps:bodyPr spcFirstLastPara="1" wrap="square" lIns="0" tIns="0" rIns="0" bIns="0" anchor="ctr" anchorCtr="0">
                            <a:noAutofit/>
                          </wps:bodyPr>
                        </wps:wsp>
                        <wps:wsp>
                          <wps:cNvPr id="2119987287" name="Rounded Rectangle 2119987287"/>
                          <wps:cNvSpPr/>
                          <wps:spPr>
                            <a:xfrm>
                              <a:off x="1995785" y="204875"/>
                              <a:ext cx="1240708" cy="1275713"/>
                            </a:xfrm>
                            <a:prstGeom prst="roundRect">
                              <a:avLst>
                                <a:gd name="adj" fmla="val 10000"/>
                              </a:avLst>
                            </a:prstGeom>
                            <a:solidFill>
                              <a:srgbClr val="4372C3"/>
                            </a:solidFill>
                            <a:ln w="12700" cap="flat" cmpd="sng">
                              <a:solidFill>
                                <a:schemeClr val="lt1"/>
                              </a:solidFill>
                              <a:prstDash val="solid"/>
                              <a:miter lim="800000"/>
                              <a:headEnd type="none" w="sm" len="sm"/>
                              <a:tailEnd type="none" w="sm" len="sm"/>
                            </a:ln>
                          </wps:spPr>
                          <wps:txbx>
                            <w:txbxContent>
                              <w:p w14:paraId="648F36D2" w14:textId="77777777" w:rsidR="00597290" w:rsidRDefault="00597290">
                                <w:pPr>
                                  <w:spacing w:after="0" w:line="240" w:lineRule="auto"/>
                                  <w:textDirection w:val="btLr"/>
                                </w:pPr>
                              </w:p>
                            </w:txbxContent>
                          </wps:txbx>
                          <wps:bodyPr spcFirstLastPara="1" wrap="square" lIns="91425" tIns="91425" rIns="91425" bIns="91425" anchor="ctr" anchorCtr="0">
                            <a:noAutofit/>
                          </wps:bodyPr>
                        </wps:wsp>
                        <wps:wsp>
                          <wps:cNvPr id="173481194" name="Text Box 173481194"/>
                          <wps:cNvSpPr txBox="1"/>
                          <wps:spPr>
                            <a:xfrm>
                              <a:off x="1995785" y="204875"/>
                              <a:ext cx="1240708" cy="850475"/>
                            </a:xfrm>
                            <a:prstGeom prst="rect">
                              <a:avLst/>
                            </a:prstGeom>
                            <a:noFill/>
                            <a:ln>
                              <a:noFill/>
                            </a:ln>
                          </wps:spPr>
                          <wps:txbx>
                            <w:txbxContent>
                              <w:p w14:paraId="089588EE" w14:textId="77777777" w:rsidR="00597290" w:rsidRDefault="00000000">
                                <w:pPr>
                                  <w:spacing w:after="0" w:line="215" w:lineRule="auto"/>
                                  <w:textDirection w:val="btLr"/>
                                </w:pPr>
                                <w:r>
                                  <w:rPr>
                                    <w:rFonts w:ascii="Calibri" w:eastAsia="Calibri" w:hAnsi="Calibri" w:cs="Calibri"/>
                                    <w:color w:val="000000"/>
                                    <w:sz w:val="18"/>
                                  </w:rPr>
                                  <w:t>Applying and Adapting Sphere Standards in Urban Areas</w:t>
                                </w:r>
                              </w:p>
                            </w:txbxContent>
                          </wps:txbx>
                          <wps:bodyPr spcFirstLastPara="1" wrap="square" lIns="64000" tIns="64000" rIns="64000" bIns="34275" anchor="t" anchorCtr="0">
                            <a:noAutofit/>
                          </wps:bodyPr>
                        </wps:wsp>
                        <wps:wsp>
                          <wps:cNvPr id="1558459641" name="Rounded Rectangle 1558459641"/>
                          <wps:cNvSpPr/>
                          <wps:spPr>
                            <a:xfrm>
                              <a:off x="2249906" y="963099"/>
                              <a:ext cx="1240708" cy="1346625"/>
                            </a:xfrm>
                            <a:prstGeom prst="roundRect">
                              <a:avLst>
                                <a:gd name="adj" fmla="val 1000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14:paraId="44CAB513" w14:textId="77777777" w:rsidR="00597290" w:rsidRDefault="00597290">
                                <w:pPr>
                                  <w:spacing w:after="0" w:line="240" w:lineRule="auto"/>
                                  <w:textDirection w:val="btLr"/>
                                </w:pPr>
                              </w:p>
                            </w:txbxContent>
                          </wps:txbx>
                          <wps:bodyPr spcFirstLastPara="1" wrap="square" lIns="91425" tIns="91425" rIns="91425" bIns="91425" anchor="ctr" anchorCtr="0">
                            <a:noAutofit/>
                          </wps:bodyPr>
                        </wps:wsp>
                        <wps:wsp>
                          <wps:cNvPr id="516538727" name="Text Box 516538727"/>
                          <wps:cNvSpPr txBox="1"/>
                          <wps:spPr>
                            <a:xfrm>
                              <a:off x="2286245" y="999438"/>
                              <a:ext cx="1168030" cy="1273947"/>
                            </a:xfrm>
                            <a:prstGeom prst="rect">
                              <a:avLst/>
                            </a:prstGeom>
                            <a:noFill/>
                            <a:ln>
                              <a:noFill/>
                            </a:ln>
                          </wps:spPr>
                          <wps:txbx>
                            <w:txbxContent>
                              <w:p w14:paraId="7A2910A8" w14:textId="77777777" w:rsidR="00597290" w:rsidRDefault="00000000">
                                <w:pPr>
                                  <w:spacing w:after="0" w:line="215" w:lineRule="auto"/>
                                  <w:ind w:left="90" w:firstLine="90"/>
                                  <w:textDirection w:val="btLr"/>
                                </w:pPr>
                                <w:r>
                                  <w:rPr>
                                    <w:rFonts w:ascii="Calibri" w:eastAsia="Calibri" w:hAnsi="Calibri" w:cs="Calibri"/>
                                    <w:color w:val="000000"/>
                                    <w:sz w:val="18"/>
                                  </w:rPr>
                                  <w:t xml:space="preserve">Ensure participants understand how to apply Sphere Standards to urban environments, with an emphasis on the meaning and implementation </w:t>
                                </w:r>
                                <w:proofErr w:type="gramStart"/>
                                <w:r>
                                  <w:rPr>
                                    <w:rFonts w:ascii="Calibri" w:eastAsia="Calibri" w:hAnsi="Calibri" w:cs="Calibri"/>
                                    <w:color w:val="000000"/>
                                    <w:sz w:val="18"/>
                                  </w:rPr>
                                  <w:t>of  contextual</w:t>
                                </w:r>
                                <w:proofErr w:type="gramEnd"/>
                                <w:r>
                                  <w:rPr>
                                    <w:rFonts w:ascii="Calibri" w:eastAsia="Calibri" w:hAnsi="Calibri" w:cs="Calibri"/>
                                    <w:color w:val="000000"/>
                                    <w:sz w:val="18"/>
                                  </w:rPr>
                                  <w:t xml:space="preserve"> adaption</w:t>
                                </w:r>
                              </w:p>
                            </w:txbxContent>
                          </wps:txbx>
                          <wps:bodyPr spcFirstLastPara="1" wrap="square" lIns="64000" tIns="64000" rIns="64000" bIns="64000" anchor="t" anchorCtr="0">
                            <a:noAutofit/>
                          </wps:bodyPr>
                        </wps:wsp>
                        <wps:wsp>
                          <wps:cNvPr id="2136041048" name="Right Arrow 2136041048"/>
                          <wps:cNvSpPr/>
                          <wps:spPr>
                            <a:xfrm>
                              <a:off x="3424580" y="475663"/>
                              <a:ext cx="398744" cy="308900"/>
                            </a:xfrm>
                            <a:prstGeom prst="rightArrow">
                              <a:avLst>
                                <a:gd name="adj1" fmla="val 60000"/>
                                <a:gd name="adj2" fmla="val 50000"/>
                              </a:avLst>
                            </a:prstGeom>
                            <a:solidFill>
                              <a:srgbClr val="ABBADE"/>
                            </a:solidFill>
                            <a:ln>
                              <a:noFill/>
                            </a:ln>
                          </wps:spPr>
                          <wps:txbx>
                            <w:txbxContent>
                              <w:p w14:paraId="4E6D7002" w14:textId="77777777" w:rsidR="00597290" w:rsidRDefault="00597290">
                                <w:pPr>
                                  <w:spacing w:after="0" w:line="240" w:lineRule="auto"/>
                                  <w:textDirection w:val="btLr"/>
                                </w:pPr>
                              </w:p>
                            </w:txbxContent>
                          </wps:txbx>
                          <wps:bodyPr spcFirstLastPara="1" wrap="square" lIns="91425" tIns="91425" rIns="91425" bIns="91425" anchor="ctr" anchorCtr="0">
                            <a:noAutofit/>
                          </wps:bodyPr>
                        </wps:wsp>
                        <wps:wsp>
                          <wps:cNvPr id="314623830" name="Text Box 314623830"/>
                          <wps:cNvSpPr txBox="1"/>
                          <wps:spPr>
                            <a:xfrm>
                              <a:off x="3424580" y="537443"/>
                              <a:ext cx="306074" cy="185340"/>
                            </a:xfrm>
                            <a:prstGeom prst="rect">
                              <a:avLst/>
                            </a:prstGeom>
                            <a:noFill/>
                            <a:ln>
                              <a:noFill/>
                            </a:ln>
                          </wps:spPr>
                          <wps:txbx>
                            <w:txbxContent>
                              <w:p w14:paraId="52A0250B" w14:textId="77777777" w:rsidR="00597290" w:rsidRDefault="00597290">
                                <w:pPr>
                                  <w:spacing w:after="0" w:line="215" w:lineRule="auto"/>
                                  <w:jc w:val="center"/>
                                  <w:textDirection w:val="btLr"/>
                                </w:pPr>
                              </w:p>
                            </w:txbxContent>
                          </wps:txbx>
                          <wps:bodyPr spcFirstLastPara="1" wrap="square" lIns="0" tIns="0" rIns="0" bIns="0" anchor="ctr" anchorCtr="0">
                            <a:noAutofit/>
                          </wps:bodyPr>
                        </wps:wsp>
                        <wps:wsp>
                          <wps:cNvPr id="1522991158" name="Rounded Rectangle 1522991158"/>
                          <wps:cNvSpPr/>
                          <wps:spPr>
                            <a:xfrm>
                              <a:off x="3988841" y="204875"/>
                              <a:ext cx="1240708" cy="1275713"/>
                            </a:xfrm>
                            <a:prstGeom prst="roundRect">
                              <a:avLst>
                                <a:gd name="adj" fmla="val 10000"/>
                              </a:avLst>
                            </a:prstGeom>
                            <a:solidFill>
                              <a:srgbClr val="4372C3"/>
                            </a:solidFill>
                            <a:ln w="12700" cap="flat" cmpd="sng">
                              <a:solidFill>
                                <a:schemeClr val="lt1"/>
                              </a:solidFill>
                              <a:prstDash val="solid"/>
                              <a:miter lim="800000"/>
                              <a:headEnd type="none" w="sm" len="sm"/>
                              <a:tailEnd type="none" w="sm" len="sm"/>
                            </a:ln>
                          </wps:spPr>
                          <wps:txbx>
                            <w:txbxContent>
                              <w:p w14:paraId="4FB48CBF" w14:textId="77777777" w:rsidR="00597290" w:rsidRDefault="00597290">
                                <w:pPr>
                                  <w:spacing w:after="0" w:line="240" w:lineRule="auto"/>
                                  <w:textDirection w:val="btLr"/>
                                </w:pPr>
                              </w:p>
                            </w:txbxContent>
                          </wps:txbx>
                          <wps:bodyPr spcFirstLastPara="1" wrap="square" lIns="91425" tIns="91425" rIns="91425" bIns="91425" anchor="ctr" anchorCtr="0">
                            <a:noAutofit/>
                          </wps:bodyPr>
                        </wps:wsp>
                        <wps:wsp>
                          <wps:cNvPr id="1819744693" name="Text Box 1819744693"/>
                          <wps:cNvSpPr txBox="1"/>
                          <wps:spPr>
                            <a:xfrm>
                              <a:off x="3988841" y="204875"/>
                              <a:ext cx="1240708" cy="850475"/>
                            </a:xfrm>
                            <a:prstGeom prst="rect">
                              <a:avLst/>
                            </a:prstGeom>
                            <a:noFill/>
                            <a:ln>
                              <a:noFill/>
                            </a:ln>
                          </wps:spPr>
                          <wps:txbx>
                            <w:txbxContent>
                              <w:p w14:paraId="7479CC67" w14:textId="77777777" w:rsidR="00597290" w:rsidRDefault="00000000">
                                <w:pPr>
                                  <w:spacing w:after="0" w:line="215" w:lineRule="auto"/>
                                  <w:textDirection w:val="btLr"/>
                                </w:pPr>
                                <w:r>
                                  <w:rPr>
                                    <w:rFonts w:ascii="Calibri" w:eastAsia="Calibri" w:hAnsi="Calibri" w:cs="Calibri"/>
                                    <w:color w:val="000000"/>
                                    <w:sz w:val="18"/>
                                  </w:rPr>
                                  <w:t>Sphere Standards in Urban Humanitarian Response TTX</w:t>
                                </w:r>
                              </w:p>
                            </w:txbxContent>
                          </wps:txbx>
                          <wps:bodyPr spcFirstLastPara="1" wrap="square" lIns="64000" tIns="64000" rIns="64000" bIns="34275" anchor="t" anchorCtr="0">
                            <a:noAutofit/>
                          </wps:bodyPr>
                        </wps:wsp>
                        <wps:wsp>
                          <wps:cNvPr id="114348196" name="Rounded Rectangle 114348196"/>
                          <wps:cNvSpPr/>
                          <wps:spPr>
                            <a:xfrm>
                              <a:off x="4242962" y="963099"/>
                              <a:ext cx="1240708" cy="1346625"/>
                            </a:xfrm>
                            <a:prstGeom prst="roundRect">
                              <a:avLst>
                                <a:gd name="adj" fmla="val 1000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14:paraId="4141384C" w14:textId="77777777" w:rsidR="00597290" w:rsidRDefault="00597290">
                                <w:pPr>
                                  <w:spacing w:after="0" w:line="240" w:lineRule="auto"/>
                                  <w:textDirection w:val="btLr"/>
                                </w:pPr>
                              </w:p>
                            </w:txbxContent>
                          </wps:txbx>
                          <wps:bodyPr spcFirstLastPara="1" wrap="square" lIns="91425" tIns="91425" rIns="91425" bIns="91425" anchor="ctr" anchorCtr="0">
                            <a:noAutofit/>
                          </wps:bodyPr>
                        </wps:wsp>
                        <wps:wsp>
                          <wps:cNvPr id="298505209" name="Text Box 298505209"/>
                          <wps:cNvSpPr txBox="1"/>
                          <wps:spPr>
                            <a:xfrm>
                              <a:off x="4279301" y="999438"/>
                              <a:ext cx="1168030" cy="1273947"/>
                            </a:xfrm>
                            <a:prstGeom prst="rect">
                              <a:avLst/>
                            </a:prstGeom>
                            <a:noFill/>
                            <a:ln>
                              <a:noFill/>
                            </a:ln>
                          </wps:spPr>
                          <wps:txbx>
                            <w:txbxContent>
                              <w:p w14:paraId="3761A49F" w14:textId="77777777" w:rsidR="00597290" w:rsidRDefault="00000000">
                                <w:pPr>
                                  <w:spacing w:after="0" w:line="215" w:lineRule="auto"/>
                                  <w:ind w:left="90" w:firstLine="90"/>
                                  <w:textDirection w:val="btLr"/>
                                </w:pPr>
                                <w:r>
                                  <w:rPr>
                                    <w:rFonts w:ascii="Calibri" w:eastAsia="Calibri" w:hAnsi="Calibri" w:cs="Calibri"/>
                                    <w:color w:val="000000"/>
                                    <w:sz w:val="18"/>
                                  </w:rPr>
                                  <w:t xml:space="preserve">Interactive capstone "simulation game" which allows participants to apply their learning and appreciate complexity beyond the </w:t>
                                </w:r>
                                <w:proofErr w:type="gramStart"/>
                                <w:r>
                                  <w:rPr>
                                    <w:rFonts w:ascii="Calibri" w:eastAsia="Calibri" w:hAnsi="Calibri" w:cs="Calibri"/>
                                    <w:color w:val="000000"/>
                                    <w:sz w:val="18"/>
                                  </w:rPr>
                                  <w:t>classroom</w:t>
                                </w:r>
                                <w:proofErr w:type="gramEnd"/>
                              </w:p>
                            </w:txbxContent>
                          </wps:txbx>
                          <wps:bodyPr spcFirstLastPara="1" wrap="square" lIns="64000" tIns="64000" rIns="64000" bIns="64000" anchor="t" anchorCtr="0">
                            <a:noAutofit/>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5931523" cy="2728913"/>
                <wp:effectExtent b="0" l="0" r="0" t="0"/>
                <wp:docPr id="1"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5931523" cy="2728913"/>
                        </a:xfrm>
                        <a:prstGeom prst="rect"/>
                        <a:ln/>
                      </pic:spPr>
                    </pic:pic>
                  </a:graphicData>
                </a:graphic>
              </wp:inline>
            </w:drawing>
          </mc:Fallback>
        </mc:AlternateContent>
      </w:r>
    </w:p>
    <w:p w14:paraId="09E20EF4" w14:textId="77777777" w:rsidR="00597290" w:rsidRDefault="00000000">
      <w:pPr>
        <w:pStyle w:val="Heading1"/>
      </w:pPr>
      <w:r>
        <w:t xml:space="preserve">Learning Goal: </w:t>
      </w:r>
    </w:p>
    <w:p w14:paraId="406464AE" w14:textId="77777777" w:rsidR="00597290" w:rsidRDefault="00000000">
      <w:pPr>
        <w:widowControl w:val="0"/>
        <w:spacing w:after="0"/>
      </w:pPr>
      <w:r>
        <w:rPr>
          <w:i/>
        </w:rPr>
        <w:t>The course will promote ethical, inclusive, rights-based, and people-centred humanitarian response in urban contexts via the proper application of Sphere Standards (including the Humanitarian Charter, the Protection Principles, and the Core Humanitarian Standard), with an emphasis on accessibility, adaptability, and flexibility. Upon completion of the course, participants will feel empowered and prepared to plan humanitarian action in urban contexts and to establish equal, respectful, and supportive relationships with local urban stakeholders to promote their capacity to apply Sphere Standards to urban humanitarian crises.</w:t>
      </w:r>
      <w:r>
        <w:br/>
      </w:r>
    </w:p>
    <w:p w14:paraId="66775055" w14:textId="77777777" w:rsidR="00597290" w:rsidRDefault="00000000">
      <w:pPr>
        <w:pStyle w:val="Heading1"/>
      </w:pPr>
      <w:bookmarkStart w:id="0" w:name="_4udqy4jq4jw6" w:colFirst="0" w:colLast="0"/>
      <w:bookmarkEnd w:id="0"/>
      <w:r>
        <w:br w:type="page"/>
      </w:r>
    </w:p>
    <w:p w14:paraId="0A51C704" w14:textId="77777777" w:rsidR="00597290" w:rsidRDefault="00000000">
      <w:pPr>
        <w:pStyle w:val="Heading1"/>
      </w:pPr>
      <w:bookmarkStart w:id="1" w:name="_ujvjvw7kcyzq" w:colFirst="0" w:colLast="0"/>
      <w:bookmarkEnd w:id="1"/>
      <w:r>
        <w:lastRenderedPageBreak/>
        <w:t>Primary Audience:</w:t>
      </w:r>
    </w:p>
    <w:p w14:paraId="7E4C9AC6" w14:textId="77777777" w:rsidR="00597290" w:rsidRDefault="00000000">
      <w:r>
        <w:t>This training course is designed for learners that meet the following criteria:</w:t>
      </w:r>
    </w:p>
    <w:p w14:paraId="5BDA9238" w14:textId="77777777" w:rsidR="00597290" w:rsidRDefault="00000000">
      <w:pPr>
        <w:numPr>
          <w:ilvl w:val="0"/>
          <w:numId w:val="4"/>
        </w:numPr>
        <w:spacing w:after="0"/>
      </w:pPr>
      <w:r>
        <w:t xml:space="preserve">Perform a humanitarian response function during the response phase of an </w:t>
      </w:r>
      <w:proofErr w:type="gramStart"/>
      <w:r>
        <w:t>emergency</w:t>
      </w:r>
      <w:proofErr w:type="gramEnd"/>
    </w:p>
    <w:p w14:paraId="6B284495" w14:textId="77777777" w:rsidR="00597290" w:rsidRDefault="00000000">
      <w:pPr>
        <w:numPr>
          <w:ilvl w:val="0"/>
          <w:numId w:val="4"/>
        </w:numPr>
        <w:spacing w:after="0"/>
      </w:pPr>
      <w:r>
        <w:t>Intermediate level understanding of the Sphere standards</w:t>
      </w:r>
    </w:p>
    <w:p w14:paraId="02DC0AF5" w14:textId="77777777" w:rsidR="00597290" w:rsidRDefault="00000000">
      <w:pPr>
        <w:numPr>
          <w:ilvl w:val="0"/>
          <w:numId w:val="4"/>
        </w:numPr>
        <w:spacing w:after="0"/>
      </w:pPr>
      <w:r>
        <w:t xml:space="preserve">Have intermediate level experience working as a </w:t>
      </w:r>
      <w:proofErr w:type="gramStart"/>
      <w:r>
        <w:t>humanitarian</w:t>
      </w:r>
      <w:proofErr w:type="gramEnd"/>
      <w:r>
        <w:t xml:space="preserve"> </w:t>
      </w:r>
    </w:p>
    <w:p w14:paraId="4E9D122C" w14:textId="77777777" w:rsidR="00597290" w:rsidRDefault="00000000">
      <w:pPr>
        <w:numPr>
          <w:ilvl w:val="0"/>
          <w:numId w:val="4"/>
        </w:numPr>
      </w:pPr>
      <w:r>
        <w:t xml:space="preserve">Have varied levels of experience working as a humanitarian in an urban response </w:t>
      </w:r>
      <w:proofErr w:type="gramStart"/>
      <w:r>
        <w:t>setting</w:t>
      </w:r>
      <w:proofErr w:type="gramEnd"/>
      <w:r>
        <w:t xml:space="preserve"> </w:t>
      </w:r>
    </w:p>
    <w:p w14:paraId="7ACF1287" w14:textId="77777777" w:rsidR="00597290" w:rsidRDefault="00000000">
      <w:pPr>
        <w:pStyle w:val="Heading1"/>
      </w:pPr>
      <w:bookmarkStart w:id="2" w:name="_6hwvbchw2koo" w:colFirst="0" w:colLast="0"/>
      <w:bookmarkEnd w:id="2"/>
      <w:r>
        <w:t>Secondary Audience(s) for future trainings:</w:t>
      </w:r>
    </w:p>
    <w:p w14:paraId="7506AF23" w14:textId="77777777" w:rsidR="00597290" w:rsidRDefault="00000000">
      <w:r>
        <w:t>Secondary audiences may benefit from prerequisite courses as laid out in the accompanying educational roadmap. These audiences may include:</w:t>
      </w:r>
    </w:p>
    <w:p w14:paraId="1C79D9B6" w14:textId="77777777" w:rsidR="00597290" w:rsidRDefault="00000000">
      <w:pPr>
        <w:numPr>
          <w:ilvl w:val="0"/>
          <w:numId w:val="2"/>
        </w:numPr>
        <w:spacing w:after="0"/>
      </w:pPr>
      <w:r>
        <w:t xml:space="preserve">Urban stakeholders in need of understanding humanitarian response </w:t>
      </w:r>
      <w:proofErr w:type="gramStart"/>
      <w:r>
        <w:t>e.g.</w:t>
      </w:r>
      <w:proofErr w:type="gramEnd"/>
      <w:r>
        <w:t xml:space="preserve"> elected officials, municipal government staff, first responders, emergency managers, formal and informal community leaders, decision makers, communications companies, critical infrastructure providers, business in a position to support the aid effort, etc.</w:t>
      </w:r>
    </w:p>
    <w:p w14:paraId="09A1E8AC" w14:textId="77777777" w:rsidR="00597290" w:rsidRDefault="00000000">
      <w:pPr>
        <w:numPr>
          <w:ilvl w:val="0"/>
          <w:numId w:val="2"/>
        </w:numPr>
        <w:spacing w:after="0"/>
      </w:pPr>
      <w:r>
        <w:t>Early-career humanitarians with basic to no experience in the humanitarian system</w:t>
      </w:r>
    </w:p>
    <w:p w14:paraId="2367C1E3" w14:textId="77777777" w:rsidR="00597290" w:rsidRDefault="00000000">
      <w:pPr>
        <w:numPr>
          <w:ilvl w:val="0"/>
          <w:numId w:val="2"/>
        </w:numPr>
      </w:pPr>
      <w:r>
        <w:t xml:space="preserve">Humanitarian responders who are not familiar with Sphere Standards. </w:t>
      </w:r>
    </w:p>
    <w:p w14:paraId="5E85EC2B" w14:textId="77777777" w:rsidR="00597290" w:rsidRDefault="00000000">
      <w:pPr>
        <w:pStyle w:val="Heading1"/>
      </w:pPr>
      <w:bookmarkStart w:id="3" w:name="_6e5o7dearfcl" w:colFirst="0" w:colLast="0"/>
      <w:bookmarkEnd w:id="3"/>
      <w:r>
        <w:t>Learning Objectives</w:t>
      </w:r>
    </w:p>
    <w:p w14:paraId="52C20B21" w14:textId="77777777" w:rsidR="00597290" w:rsidRDefault="00000000">
      <w:r>
        <w:t>At the end of this training, learners will be able to:</w:t>
      </w:r>
    </w:p>
    <w:p w14:paraId="7931E533" w14:textId="77777777" w:rsidR="00597290" w:rsidRDefault="00000000">
      <w:pPr>
        <w:numPr>
          <w:ilvl w:val="0"/>
          <w:numId w:val="3"/>
        </w:numPr>
        <w:spacing w:after="0"/>
      </w:pPr>
      <w:r>
        <w:rPr>
          <w:b/>
        </w:rPr>
        <w:t>Apply Sphere Standards</w:t>
      </w:r>
      <w:r>
        <w:t xml:space="preserve"> to urban contexts to plan and deliver humanitarian response.</w:t>
      </w:r>
    </w:p>
    <w:p w14:paraId="0A32CB2B" w14:textId="77777777" w:rsidR="00597290" w:rsidRDefault="00000000">
      <w:pPr>
        <w:numPr>
          <w:ilvl w:val="0"/>
          <w:numId w:val="3"/>
        </w:numPr>
        <w:spacing w:after="0"/>
      </w:pPr>
      <w:r>
        <w:rPr>
          <w:b/>
        </w:rPr>
        <w:t xml:space="preserve">Identify differences and similarities between humanitarian response </w:t>
      </w:r>
      <w:r>
        <w:t>in urban contexts and rural/camp contexts, specifically identifying attributes of cities that present opportunities and challenges for humanitarian response and for the application of Sphere Standards.</w:t>
      </w:r>
    </w:p>
    <w:p w14:paraId="59A8EAFD" w14:textId="77777777" w:rsidR="00597290" w:rsidRDefault="00000000">
      <w:pPr>
        <w:numPr>
          <w:ilvl w:val="0"/>
          <w:numId w:val="3"/>
        </w:numPr>
      </w:pPr>
      <w:r>
        <w:rPr>
          <w:b/>
        </w:rPr>
        <w:t>Conduct needs analysis using a people-centred, rights-based approach</w:t>
      </w:r>
      <w:r>
        <w:t xml:space="preserve"> and context analysis using a systems approach, including stakeholder mappings and mappings of existing capacities, resources, and risks in urban contexts.</w:t>
      </w:r>
    </w:p>
    <w:p w14:paraId="404BD8DB" w14:textId="77777777" w:rsidR="00597290" w:rsidRDefault="00000000">
      <w:pPr>
        <w:pStyle w:val="Heading1"/>
      </w:pPr>
      <w:bookmarkStart w:id="4" w:name="_juomunp6wbv" w:colFirst="0" w:colLast="0"/>
      <w:bookmarkEnd w:id="4"/>
      <w:r>
        <w:t>Instructional Principles</w:t>
      </w:r>
    </w:p>
    <w:p w14:paraId="38CB2772" w14:textId="77777777" w:rsidR="00597290" w:rsidRDefault="00000000">
      <w:r>
        <w:t>In this course, instructors should apply and maintain the following principles throughout:</w:t>
      </w:r>
    </w:p>
    <w:p w14:paraId="64B50ABE" w14:textId="77777777" w:rsidR="00597290" w:rsidRDefault="00000000">
      <w:pPr>
        <w:numPr>
          <w:ilvl w:val="0"/>
          <w:numId w:val="1"/>
        </w:numPr>
        <w:spacing w:after="0"/>
      </w:pPr>
      <w:r>
        <w:t xml:space="preserve">Emphasis on ethical, inclusive, rights-based and people-centered values underlying all </w:t>
      </w:r>
      <w:proofErr w:type="gramStart"/>
      <w:r>
        <w:t>modules</w:t>
      </w:r>
      <w:proofErr w:type="gramEnd"/>
    </w:p>
    <w:p w14:paraId="1069FC0F" w14:textId="77777777" w:rsidR="00597290" w:rsidRDefault="00000000">
      <w:pPr>
        <w:numPr>
          <w:ilvl w:val="0"/>
          <w:numId w:val="1"/>
        </w:numPr>
        <w:spacing w:after="0"/>
      </w:pPr>
      <w:r>
        <w:t xml:space="preserve">Sphere Standards (including Humanitarian Charter, Protection Principles, and Core Humanitarian Standards) should be understood as the underlying basis of all humanitarian </w:t>
      </w:r>
      <w:proofErr w:type="gramStart"/>
      <w:r>
        <w:t>action</w:t>
      </w:r>
      <w:proofErr w:type="gramEnd"/>
    </w:p>
    <w:p w14:paraId="4CF7878B" w14:textId="77777777" w:rsidR="00597290" w:rsidRDefault="00000000">
      <w:pPr>
        <w:numPr>
          <w:ilvl w:val="0"/>
          <w:numId w:val="1"/>
        </w:numPr>
        <w:spacing w:after="0"/>
      </w:pPr>
      <w:r>
        <w:t>Extensive framing via real-life case studies</w:t>
      </w:r>
    </w:p>
    <w:p w14:paraId="4F17ACE5" w14:textId="77777777" w:rsidR="00597290" w:rsidRDefault="00000000">
      <w:pPr>
        <w:numPr>
          <w:ilvl w:val="0"/>
          <w:numId w:val="1"/>
        </w:numPr>
      </w:pPr>
      <w:r>
        <w:lastRenderedPageBreak/>
        <w:t xml:space="preserve">Interactive learning based on active learning theory / experiential learning </w:t>
      </w:r>
      <w:proofErr w:type="gramStart"/>
      <w:r>
        <w:t>theory</w:t>
      </w:r>
      <w:proofErr w:type="gramEnd"/>
    </w:p>
    <w:p w14:paraId="5A50BF61" w14:textId="77777777" w:rsidR="00597290" w:rsidRDefault="00000000">
      <w:pPr>
        <w:pStyle w:val="Heading1"/>
      </w:pPr>
      <w:bookmarkStart w:id="5" w:name="_qg5gtjxek5ez" w:colFirst="0" w:colLast="0"/>
      <w:bookmarkEnd w:id="5"/>
      <w:r>
        <w:t xml:space="preserve">Duration of Training </w:t>
      </w:r>
    </w:p>
    <w:p w14:paraId="66CAE58C" w14:textId="77777777" w:rsidR="00597290" w:rsidRDefault="00000000">
      <w:pPr>
        <w:tabs>
          <w:tab w:val="left" w:pos="6225"/>
        </w:tabs>
        <w:spacing w:after="200"/>
        <w:rPr>
          <w:i/>
          <w:sz w:val="20"/>
          <w:szCs w:val="20"/>
        </w:rPr>
      </w:pPr>
      <w:r>
        <w:rPr>
          <w:b/>
          <w:sz w:val="20"/>
          <w:szCs w:val="20"/>
        </w:rPr>
        <w:t xml:space="preserve">Module 1 </w:t>
      </w:r>
      <w:r>
        <w:rPr>
          <w:sz w:val="20"/>
          <w:szCs w:val="20"/>
        </w:rPr>
        <w:t>Humanitarian Response in Urban Contexts</w:t>
      </w:r>
      <w:r>
        <w:rPr>
          <w:sz w:val="20"/>
          <w:szCs w:val="20"/>
        </w:rPr>
        <w:tab/>
        <w:t>4h (</w:t>
      </w:r>
      <w:r>
        <w:rPr>
          <w:i/>
          <w:sz w:val="20"/>
          <w:szCs w:val="20"/>
        </w:rPr>
        <w:t>2h lecture + 2h exercises)</w:t>
      </w:r>
    </w:p>
    <w:p w14:paraId="10D508A0" w14:textId="77777777" w:rsidR="00597290" w:rsidRDefault="00000000">
      <w:pPr>
        <w:tabs>
          <w:tab w:val="left" w:pos="6225"/>
        </w:tabs>
        <w:spacing w:after="200"/>
        <w:rPr>
          <w:i/>
          <w:sz w:val="20"/>
          <w:szCs w:val="20"/>
        </w:rPr>
      </w:pPr>
      <w:r>
        <w:rPr>
          <w:b/>
          <w:sz w:val="20"/>
          <w:szCs w:val="20"/>
        </w:rPr>
        <w:t xml:space="preserve">Module 2 </w:t>
      </w:r>
      <w:r>
        <w:rPr>
          <w:sz w:val="20"/>
          <w:szCs w:val="20"/>
        </w:rPr>
        <w:t xml:space="preserve">Sphere Standards in Urban Contexts </w:t>
      </w:r>
      <w:r>
        <w:rPr>
          <w:sz w:val="20"/>
          <w:szCs w:val="20"/>
        </w:rPr>
        <w:tab/>
        <w:t>4h (</w:t>
      </w:r>
      <w:r>
        <w:rPr>
          <w:i/>
          <w:sz w:val="20"/>
          <w:szCs w:val="20"/>
        </w:rPr>
        <w:t>2h lecture + 2h exercises)</w:t>
      </w:r>
    </w:p>
    <w:p w14:paraId="57B890A8" w14:textId="77777777" w:rsidR="00597290" w:rsidRDefault="00000000">
      <w:pPr>
        <w:tabs>
          <w:tab w:val="left" w:pos="6225"/>
        </w:tabs>
        <w:spacing w:after="200"/>
        <w:rPr>
          <w:rFonts w:ascii="Times New Roman" w:eastAsia="Times New Roman" w:hAnsi="Times New Roman" w:cs="Times New Roman"/>
          <w:sz w:val="30"/>
          <w:szCs w:val="30"/>
        </w:rPr>
      </w:pPr>
      <w:r>
        <w:rPr>
          <w:b/>
          <w:sz w:val="20"/>
          <w:szCs w:val="20"/>
        </w:rPr>
        <w:t xml:space="preserve">Module 3 </w:t>
      </w:r>
      <w:r>
        <w:rPr>
          <w:sz w:val="20"/>
          <w:szCs w:val="20"/>
        </w:rPr>
        <w:t>Table-top Exercise</w:t>
      </w:r>
      <w:r>
        <w:rPr>
          <w:sz w:val="20"/>
          <w:szCs w:val="20"/>
        </w:rPr>
        <w:tab/>
      </w:r>
      <w:r>
        <w:rPr>
          <w:i/>
          <w:sz w:val="20"/>
          <w:szCs w:val="20"/>
        </w:rPr>
        <w:t xml:space="preserve">4 hours </w:t>
      </w:r>
    </w:p>
    <w:p w14:paraId="5E924F27" w14:textId="77777777" w:rsidR="00597290" w:rsidRDefault="00000000">
      <w:pPr>
        <w:pStyle w:val="Heading1"/>
      </w:pPr>
      <w:r>
        <w:t>Course Structure</w:t>
      </w:r>
    </w:p>
    <w:tbl>
      <w:tblPr>
        <w:tblStyle w:val="a"/>
        <w:tblW w:w="10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5"/>
        <w:gridCol w:w="7605"/>
      </w:tblGrid>
      <w:tr w:rsidR="00597290" w14:paraId="6DE9CA39" w14:textId="77777777">
        <w:trPr>
          <w:trHeight w:val="393"/>
        </w:trPr>
        <w:tc>
          <w:tcPr>
            <w:tcW w:w="10080" w:type="dxa"/>
            <w:gridSpan w:val="2"/>
            <w:shd w:val="clear" w:color="auto" w:fill="CFE2F3"/>
            <w:vAlign w:val="center"/>
          </w:tcPr>
          <w:p w14:paraId="2DF36801" w14:textId="77777777" w:rsidR="00597290" w:rsidRDefault="00000000">
            <w:pPr>
              <w:pStyle w:val="Heading2"/>
              <w:spacing w:before="0"/>
              <w:outlineLvl w:val="1"/>
              <w:rPr>
                <w:rFonts w:ascii="Oswald" w:eastAsia="Oswald" w:hAnsi="Oswald" w:cs="Oswald"/>
                <w:b/>
                <w:sz w:val="24"/>
                <w:szCs w:val="24"/>
              </w:rPr>
            </w:pPr>
            <w:bookmarkStart w:id="6" w:name="_mqp4opia5nm" w:colFirst="0" w:colLast="0"/>
            <w:bookmarkEnd w:id="6"/>
            <w:r>
              <w:rPr>
                <w:rFonts w:ascii="Oswald" w:eastAsia="Oswald" w:hAnsi="Oswald" w:cs="Oswald"/>
                <w:sz w:val="24"/>
                <w:szCs w:val="24"/>
              </w:rPr>
              <w:t xml:space="preserve">Module 1. Introduction to Humanitarian Response in Urban Contexts </w:t>
            </w:r>
          </w:p>
        </w:tc>
      </w:tr>
      <w:tr w:rsidR="00597290" w14:paraId="6C1219F5" w14:textId="77777777">
        <w:trPr>
          <w:trHeight w:val="210"/>
        </w:trPr>
        <w:tc>
          <w:tcPr>
            <w:tcW w:w="2475" w:type="dxa"/>
            <w:shd w:val="clear" w:color="auto" w:fill="3D85C6"/>
          </w:tcPr>
          <w:p w14:paraId="3CFFE112" w14:textId="77777777" w:rsidR="00597290" w:rsidRDefault="00000000">
            <w:pPr>
              <w:spacing w:line="276" w:lineRule="auto"/>
              <w:rPr>
                <w:rFonts w:ascii="Oswald" w:eastAsia="Oswald" w:hAnsi="Oswald" w:cs="Oswald"/>
                <w:b/>
                <w:color w:val="FFFFFF"/>
                <w:sz w:val="20"/>
                <w:szCs w:val="20"/>
              </w:rPr>
            </w:pPr>
            <w:r>
              <w:rPr>
                <w:rFonts w:ascii="Oswald" w:eastAsia="Oswald" w:hAnsi="Oswald" w:cs="Oswald"/>
                <w:b/>
                <w:color w:val="FFFFFF"/>
                <w:sz w:val="20"/>
                <w:szCs w:val="20"/>
              </w:rPr>
              <w:t>SECTION</w:t>
            </w:r>
          </w:p>
        </w:tc>
        <w:tc>
          <w:tcPr>
            <w:tcW w:w="7605" w:type="dxa"/>
            <w:shd w:val="clear" w:color="auto" w:fill="3D85C6"/>
          </w:tcPr>
          <w:p w14:paraId="3F6A4CD3" w14:textId="77777777" w:rsidR="00597290" w:rsidRDefault="00000000">
            <w:pPr>
              <w:spacing w:line="276" w:lineRule="auto"/>
              <w:ind w:left="179" w:hanging="179"/>
              <w:rPr>
                <w:rFonts w:ascii="Oswald" w:eastAsia="Oswald" w:hAnsi="Oswald" w:cs="Oswald"/>
                <w:b/>
                <w:color w:val="FFFFFF"/>
                <w:sz w:val="20"/>
                <w:szCs w:val="20"/>
              </w:rPr>
            </w:pPr>
            <w:r>
              <w:rPr>
                <w:rFonts w:ascii="Oswald" w:eastAsia="Oswald" w:hAnsi="Oswald" w:cs="Oswald"/>
                <w:b/>
                <w:color w:val="FFFFFF"/>
                <w:sz w:val="20"/>
                <w:szCs w:val="20"/>
              </w:rPr>
              <w:t>SUB-SECTION</w:t>
            </w:r>
          </w:p>
        </w:tc>
      </w:tr>
      <w:tr w:rsidR="00597290" w14:paraId="66FB8033" w14:textId="77777777">
        <w:tc>
          <w:tcPr>
            <w:tcW w:w="2475" w:type="dxa"/>
          </w:tcPr>
          <w:p w14:paraId="0D7ACE02" w14:textId="77777777" w:rsidR="00597290" w:rsidRDefault="00000000">
            <w:pPr>
              <w:spacing w:line="276" w:lineRule="auto"/>
              <w:rPr>
                <w:sz w:val="18"/>
                <w:szCs w:val="18"/>
              </w:rPr>
            </w:pPr>
            <w:r>
              <w:rPr>
                <w:sz w:val="18"/>
                <w:szCs w:val="18"/>
              </w:rPr>
              <w:t xml:space="preserve">1.0 </w:t>
            </w:r>
          </w:p>
          <w:p w14:paraId="3B3DDBE6" w14:textId="77777777" w:rsidR="00597290" w:rsidRDefault="00000000">
            <w:pPr>
              <w:spacing w:line="276" w:lineRule="auto"/>
              <w:rPr>
                <w:sz w:val="18"/>
                <w:szCs w:val="18"/>
              </w:rPr>
            </w:pPr>
            <w:r>
              <w:rPr>
                <w:sz w:val="18"/>
                <w:szCs w:val="18"/>
              </w:rPr>
              <w:t>Introduction to Humanitarian Response in Urban Contexts</w:t>
            </w:r>
          </w:p>
        </w:tc>
        <w:tc>
          <w:tcPr>
            <w:tcW w:w="7605" w:type="dxa"/>
          </w:tcPr>
          <w:p w14:paraId="4F29D0BC" w14:textId="77777777" w:rsidR="00597290" w:rsidRDefault="00000000">
            <w:pPr>
              <w:spacing w:line="276" w:lineRule="auto"/>
              <w:rPr>
                <w:color w:val="3C4043"/>
                <w:sz w:val="18"/>
                <w:szCs w:val="18"/>
              </w:rPr>
            </w:pPr>
            <w:r>
              <w:rPr>
                <w:color w:val="3C4043"/>
                <w:sz w:val="18"/>
                <w:szCs w:val="18"/>
              </w:rPr>
              <w:t>1.0.A. Case Study: War in Ukraine</w:t>
            </w:r>
            <w:r>
              <w:rPr>
                <w:color w:val="3C4043"/>
                <w:sz w:val="18"/>
                <w:szCs w:val="18"/>
              </w:rPr>
              <w:tab/>
            </w:r>
          </w:p>
          <w:p w14:paraId="12398F65" w14:textId="77777777" w:rsidR="00597290" w:rsidRDefault="00000000">
            <w:pPr>
              <w:spacing w:line="276" w:lineRule="auto"/>
              <w:rPr>
                <w:color w:val="3C4043"/>
                <w:sz w:val="18"/>
                <w:szCs w:val="18"/>
              </w:rPr>
            </w:pPr>
            <w:r>
              <w:rPr>
                <w:color w:val="3C4043"/>
                <w:sz w:val="18"/>
                <w:szCs w:val="18"/>
              </w:rPr>
              <w:t xml:space="preserve">🔴 Activity 1.0. Introducing the Urban </w:t>
            </w:r>
            <w:proofErr w:type="gramStart"/>
            <w:r>
              <w:rPr>
                <w:color w:val="3C4043"/>
                <w:sz w:val="18"/>
                <w:szCs w:val="18"/>
              </w:rPr>
              <w:t>Context  (</w:t>
            </w:r>
            <w:proofErr w:type="gramEnd"/>
            <w:r>
              <w:rPr>
                <w:color w:val="3C4043"/>
                <w:sz w:val="18"/>
                <w:szCs w:val="18"/>
              </w:rPr>
              <w:t>Required)</w:t>
            </w:r>
            <w:r>
              <w:rPr>
                <w:color w:val="3C4043"/>
                <w:sz w:val="18"/>
                <w:szCs w:val="18"/>
              </w:rPr>
              <w:tab/>
            </w:r>
          </w:p>
          <w:p w14:paraId="453EDA07" w14:textId="77777777" w:rsidR="00597290" w:rsidRDefault="00000000">
            <w:pPr>
              <w:spacing w:line="276" w:lineRule="auto"/>
              <w:rPr>
                <w:color w:val="3C4043"/>
                <w:sz w:val="18"/>
                <w:szCs w:val="18"/>
              </w:rPr>
            </w:pPr>
            <w:r>
              <w:rPr>
                <w:color w:val="3C4043"/>
                <w:sz w:val="18"/>
                <w:szCs w:val="18"/>
              </w:rPr>
              <w:t>1.0.B. Key Features of Urban Contexts</w:t>
            </w:r>
            <w:r>
              <w:rPr>
                <w:color w:val="3C4043"/>
                <w:sz w:val="18"/>
                <w:szCs w:val="18"/>
              </w:rPr>
              <w:tab/>
            </w:r>
          </w:p>
          <w:p w14:paraId="173F0B33" w14:textId="77777777" w:rsidR="00597290" w:rsidRDefault="00000000">
            <w:pPr>
              <w:spacing w:line="276" w:lineRule="auto"/>
              <w:rPr>
                <w:color w:val="3C4043"/>
                <w:sz w:val="18"/>
                <w:szCs w:val="18"/>
              </w:rPr>
            </w:pPr>
            <w:r>
              <w:rPr>
                <w:color w:val="3C4043"/>
                <w:sz w:val="18"/>
                <w:szCs w:val="18"/>
              </w:rPr>
              <w:t>🔵 Activity 1.0. Why Are Urban Contexts Important? (Optional)</w:t>
            </w:r>
            <w:r>
              <w:rPr>
                <w:color w:val="3C4043"/>
                <w:sz w:val="18"/>
                <w:szCs w:val="18"/>
              </w:rPr>
              <w:tab/>
            </w:r>
          </w:p>
          <w:p w14:paraId="689D5008" w14:textId="77777777" w:rsidR="00597290" w:rsidRDefault="00000000">
            <w:pPr>
              <w:spacing w:line="276" w:lineRule="auto"/>
              <w:rPr>
                <w:color w:val="3C4043"/>
                <w:sz w:val="18"/>
                <w:szCs w:val="18"/>
              </w:rPr>
            </w:pPr>
            <w:r>
              <w:rPr>
                <w:color w:val="3C4043"/>
                <w:sz w:val="18"/>
                <w:szCs w:val="18"/>
              </w:rPr>
              <w:t>1.0.C. Framing Urban Contexts Through Systems Thinking</w:t>
            </w:r>
            <w:r>
              <w:rPr>
                <w:color w:val="3C4043"/>
                <w:sz w:val="18"/>
                <w:szCs w:val="18"/>
              </w:rPr>
              <w:tab/>
            </w:r>
          </w:p>
          <w:p w14:paraId="76143F0F" w14:textId="77777777" w:rsidR="00597290" w:rsidRDefault="00000000">
            <w:pPr>
              <w:spacing w:line="276" w:lineRule="auto"/>
              <w:rPr>
                <w:color w:val="3C4043"/>
                <w:sz w:val="18"/>
                <w:szCs w:val="18"/>
              </w:rPr>
            </w:pPr>
            <w:r>
              <w:rPr>
                <w:color w:val="3C4043"/>
                <w:sz w:val="18"/>
                <w:szCs w:val="18"/>
              </w:rPr>
              <w:t>1.0.D. Learning Objectives for Module 1</w:t>
            </w:r>
            <w:r>
              <w:rPr>
                <w:color w:val="3C4043"/>
                <w:sz w:val="18"/>
                <w:szCs w:val="18"/>
              </w:rPr>
              <w:tab/>
            </w:r>
          </w:p>
          <w:p w14:paraId="01C421D5" w14:textId="77777777" w:rsidR="00597290" w:rsidRDefault="00000000">
            <w:pPr>
              <w:spacing w:line="276" w:lineRule="auto"/>
              <w:rPr>
                <w:color w:val="3C4043"/>
                <w:sz w:val="18"/>
                <w:szCs w:val="18"/>
              </w:rPr>
            </w:pPr>
            <w:r>
              <w:rPr>
                <w:color w:val="3C4043"/>
                <w:sz w:val="18"/>
                <w:szCs w:val="18"/>
              </w:rPr>
              <w:t>1.0.E. Module Overview</w:t>
            </w:r>
          </w:p>
          <w:p w14:paraId="5C5293C3" w14:textId="77777777" w:rsidR="00597290" w:rsidRDefault="00000000">
            <w:pPr>
              <w:spacing w:line="276" w:lineRule="auto"/>
              <w:rPr>
                <w:b/>
                <w:color w:val="3C4043"/>
                <w:sz w:val="18"/>
                <w:szCs w:val="18"/>
              </w:rPr>
            </w:pPr>
            <w:r>
              <w:rPr>
                <w:color w:val="3C4043"/>
                <w:sz w:val="18"/>
                <w:szCs w:val="18"/>
              </w:rPr>
              <w:t>1.0.F. Additional Reading</w:t>
            </w:r>
          </w:p>
        </w:tc>
      </w:tr>
      <w:tr w:rsidR="00597290" w14:paraId="551C92FC" w14:textId="77777777">
        <w:tc>
          <w:tcPr>
            <w:tcW w:w="2475" w:type="dxa"/>
          </w:tcPr>
          <w:p w14:paraId="597205A2" w14:textId="77777777" w:rsidR="00597290" w:rsidRDefault="00000000">
            <w:pPr>
              <w:spacing w:line="276" w:lineRule="auto"/>
              <w:rPr>
                <w:sz w:val="18"/>
                <w:szCs w:val="18"/>
              </w:rPr>
            </w:pPr>
            <w:r>
              <w:rPr>
                <w:sz w:val="18"/>
                <w:szCs w:val="18"/>
              </w:rPr>
              <w:t>1.1</w:t>
            </w:r>
          </w:p>
          <w:p w14:paraId="064F0148" w14:textId="77777777" w:rsidR="00597290" w:rsidRDefault="00000000">
            <w:pPr>
              <w:spacing w:line="276" w:lineRule="auto"/>
              <w:rPr>
                <w:sz w:val="18"/>
                <w:szCs w:val="18"/>
              </w:rPr>
            </w:pPr>
            <w:r>
              <w:rPr>
                <w:sz w:val="18"/>
                <w:szCs w:val="18"/>
              </w:rPr>
              <w:t>Defining the Urban Context</w:t>
            </w:r>
          </w:p>
        </w:tc>
        <w:tc>
          <w:tcPr>
            <w:tcW w:w="7605" w:type="dxa"/>
          </w:tcPr>
          <w:p w14:paraId="1FF0CA13"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1.1. Section Overview</w:t>
            </w:r>
            <w:r>
              <w:rPr>
                <w:color w:val="3C4043"/>
                <w:sz w:val="18"/>
                <w:szCs w:val="18"/>
              </w:rPr>
              <w:tab/>
            </w:r>
          </w:p>
          <w:p w14:paraId="7385071A"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 Activity 1.1. Part 1 - Define the Urban Context (Required)</w:t>
            </w:r>
            <w:r>
              <w:rPr>
                <w:color w:val="3C4043"/>
                <w:sz w:val="18"/>
                <w:szCs w:val="18"/>
              </w:rPr>
              <w:tab/>
            </w:r>
          </w:p>
          <w:p w14:paraId="516E663B"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1.1.A. Definitions of Urban Contexts</w:t>
            </w:r>
            <w:r>
              <w:rPr>
                <w:color w:val="3C4043"/>
                <w:sz w:val="18"/>
                <w:szCs w:val="18"/>
              </w:rPr>
              <w:tab/>
            </w:r>
          </w:p>
          <w:p w14:paraId="1354D3F5"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 Activity 1.1. Part 2 - Group Definition of the Urban Context (Optional)</w:t>
            </w:r>
            <w:r>
              <w:rPr>
                <w:color w:val="3C4043"/>
                <w:sz w:val="18"/>
                <w:szCs w:val="18"/>
              </w:rPr>
              <w:tab/>
            </w:r>
          </w:p>
          <w:p w14:paraId="38540E69"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1.1.B. Comparing Contexts</w:t>
            </w:r>
            <w:r>
              <w:rPr>
                <w:color w:val="3C4043"/>
                <w:sz w:val="18"/>
                <w:szCs w:val="18"/>
              </w:rPr>
              <w:tab/>
            </w:r>
          </w:p>
          <w:p w14:paraId="0BB992A9"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1.1.C. Identifying Opportunities</w:t>
            </w:r>
            <w:r>
              <w:rPr>
                <w:color w:val="3C4043"/>
                <w:sz w:val="18"/>
                <w:szCs w:val="18"/>
              </w:rPr>
              <w:tab/>
            </w:r>
          </w:p>
          <w:p w14:paraId="693C1FEE"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1.1.D. Identifying Challenges</w:t>
            </w:r>
            <w:r>
              <w:rPr>
                <w:color w:val="3C4043"/>
                <w:sz w:val="18"/>
                <w:szCs w:val="18"/>
              </w:rPr>
              <w:tab/>
            </w:r>
          </w:p>
          <w:p w14:paraId="42A1D2B0"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1.1.E. Additional Reading</w:t>
            </w:r>
          </w:p>
        </w:tc>
      </w:tr>
      <w:tr w:rsidR="00597290" w14:paraId="0D040AF9" w14:textId="77777777">
        <w:tc>
          <w:tcPr>
            <w:tcW w:w="2475" w:type="dxa"/>
          </w:tcPr>
          <w:p w14:paraId="443FC0B6" w14:textId="77777777" w:rsidR="00597290" w:rsidRDefault="00000000">
            <w:pPr>
              <w:spacing w:line="276" w:lineRule="auto"/>
              <w:rPr>
                <w:sz w:val="18"/>
                <w:szCs w:val="18"/>
              </w:rPr>
            </w:pPr>
            <w:r>
              <w:rPr>
                <w:sz w:val="18"/>
                <w:szCs w:val="18"/>
              </w:rPr>
              <w:t xml:space="preserve">1.2 </w:t>
            </w:r>
          </w:p>
          <w:p w14:paraId="5CD0E6EC" w14:textId="77777777" w:rsidR="00597290" w:rsidRDefault="00000000">
            <w:pPr>
              <w:spacing w:line="276" w:lineRule="auto"/>
              <w:rPr>
                <w:sz w:val="18"/>
                <w:szCs w:val="18"/>
              </w:rPr>
            </w:pPr>
            <w:r>
              <w:rPr>
                <w:sz w:val="18"/>
                <w:szCs w:val="18"/>
              </w:rPr>
              <w:t xml:space="preserve">Conceptualizing the urban context </w:t>
            </w:r>
          </w:p>
        </w:tc>
        <w:tc>
          <w:tcPr>
            <w:tcW w:w="7605" w:type="dxa"/>
          </w:tcPr>
          <w:p w14:paraId="5537DFA6"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1.2. Section Overview</w:t>
            </w:r>
            <w:r>
              <w:rPr>
                <w:color w:val="3C4043"/>
                <w:sz w:val="18"/>
                <w:szCs w:val="18"/>
              </w:rPr>
              <w:tab/>
            </w:r>
          </w:p>
          <w:p w14:paraId="5B8BBD11"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1.2.A. Conceptualising Urban Response</w:t>
            </w:r>
            <w:r>
              <w:rPr>
                <w:color w:val="3C4043"/>
                <w:sz w:val="18"/>
                <w:szCs w:val="18"/>
              </w:rPr>
              <w:tab/>
            </w:r>
          </w:p>
          <w:p w14:paraId="1AE1263F"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1.2.B. Needs Analysis Using a People-Centred Approach</w:t>
            </w:r>
            <w:r>
              <w:rPr>
                <w:color w:val="3C4043"/>
                <w:sz w:val="18"/>
                <w:szCs w:val="18"/>
              </w:rPr>
              <w:tab/>
            </w:r>
          </w:p>
          <w:p w14:paraId="4A84F609"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 Activity 1.2. Part 1 - Needs Analysis Using a People-Centred Approach (Required)</w:t>
            </w:r>
            <w:r>
              <w:rPr>
                <w:color w:val="3C4043"/>
                <w:sz w:val="18"/>
                <w:szCs w:val="18"/>
              </w:rPr>
              <w:tab/>
            </w:r>
          </w:p>
          <w:p w14:paraId="69DF851E"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1.2.C. Context Analysis Using a Systems Approach</w:t>
            </w:r>
            <w:r>
              <w:rPr>
                <w:color w:val="3C4043"/>
                <w:sz w:val="18"/>
                <w:szCs w:val="18"/>
              </w:rPr>
              <w:tab/>
            </w:r>
          </w:p>
          <w:p w14:paraId="3F02C589"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 Activity 1.2. Part 2 - Context Analysis Using a Systems Approach (Required)</w:t>
            </w:r>
            <w:r>
              <w:rPr>
                <w:color w:val="3C4043"/>
                <w:sz w:val="18"/>
                <w:szCs w:val="18"/>
              </w:rPr>
              <w:tab/>
              <w:t>67</w:t>
            </w:r>
          </w:p>
          <w:p w14:paraId="6860F95A"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1.2.D. Systems Approaches to Context Analysis</w:t>
            </w:r>
            <w:r>
              <w:rPr>
                <w:color w:val="3C4043"/>
                <w:sz w:val="18"/>
                <w:szCs w:val="18"/>
              </w:rPr>
              <w:tab/>
            </w:r>
          </w:p>
          <w:p w14:paraId="6B4AD0B4"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 Activity 1.2. Part 3 - Systems Modelling Using the Five Urban Systems Approach (Required)</w:t>
            </w:r>
            <w:r>
              <w:rPr>
                <w:color w:val="3C4043"/>
                <w:sz w:val="18"/>
                <w:szCs w:val="18"/>
              </w:rPr>
              <w:tab/>
            </w:r>
          </w:p>
          <w:p w14:paraId="30356F85"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1.2.E. Additional Reading</w:t>
            </w:r>
          </w:p>
        </w:tc>
      </w:tr>
      <w:tr w:rsidR="00597290" w14:paraId="7FEAD199" w14:textId="77777777">
        <w:tc>
          <w:tcPr>
            <w:tcW w:w="2475" w:type="dxa"/>
          </w:tcPr>
          <w:p w14:paraId="6F25BB23" w14:textId="77777777" w:rsidR="00597290" w:rsidRDefault="00000000">
            <w:pPr>
              <w:spacing w:line="276" w:lineRule="auto"/>
              <w:rPr>
                <w:sz w:val="18"/>
                <w:szCs w:val="18"/>
              </w:rPr>
            </w:pPr>
            <w:r>
              <w:rPr>
                <w:sz w:val="18"/>
                <w:szCs w:val="18"/>
              </w:rPr>
              <w:t xml:space="preserve">1.3 </w:t>
            </w:r>
          </w:p>
          <w:p w14:paraId="15890EE6" w14:textId="77777777" w:rsidR="00597290" w:rsidRDefault="00000000">
            <w:pPr>
              <w:spacing w:line="276" w:lineRule="auto"/>
              <w:rPr>
                <w:sz w:val="18"/>
                <w:szCs w:val="18"/>
              </w:rPr>
            </w:pPr>
            <w:r>
              <w:rPr>
                <w:sz w:val="18"/>
                <w:szCs w:val="18"/>
              </w:rPr>
              <w:t>Complexity in Urban Contexts</w:t>
            </w:r>
          </w:p>
          <w:p w14:paraId="460D57A9" w14:textId="77777777" w:rsidR="00597290" w:rsidRDefault="00597290">
            <w:pPr>
              <w:spacing w:line="276" w:lineRule="auto"/>
              <w:rPr>
                <w:sz w:val="18"/>
                <w:szCs w:val="18"/>
              </w:rPr>
            </w:pPr>
          </w:p>
        </w:tc>
        <w:tc>
          <w:tcPr>
            <w:tcW w:w="7605" w:type="dxa"/>
          </w:tcPr>
          <w:p w14:paraId="08E8BA86"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1.3. Section Overview</w:t>
            </w:r>
            <w:r>
              <w:rPr>
                <w:color w:val="3C4043"/>
                <w:sz w:val="18"/>
                <w:szCs w:val="18"/>
              </w:rPr>
              <w:tab/>
            </w:r>
          </w:p>
          <w:p w14:paraId="63486F22"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1.3.A. Origins of Complexity</w:t>
            </w:r>
            <w:r>
              <w:rPr>
                <w:color w:val="3C4043"/>
                <w:sz w:val="18"/>
                <w:szCs w:val="18"/>
              </w:rPr>
              <w:tab/>
            </w:r>
          </w:p>
          <w:p w14:paraId="6CDC5DFD"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1.3.B. Urban Risk and Vulnerability</w:t>
            </w:r>
            <w:r>
              <w:rPr>
                <w:color w:val="3C4043"/>
                <w:sz w:val="18"/>
                <w:szCs w:val="18"/>
              </w:rPr>
              <w:tab/>
            </w:r>
          </w:p>
          <w:p w14:paraId="5D0EAFAA"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 Activity 1.3. Conceptualising Risk and Vulnerability (Optional)</w:t>
            </w:r>
            <w:r>
              <w:rPr>
                <w:color w:val="3C4043"/>
                <w:sz w:val="18"/>
                <w:szCs w:val="18"/>
              </w:rPr>
              <w:tab/>
            </w:r>
          </w:p>
          <w:p w14:paraId="1775F73C"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1.3.C. Urban Communications and Information Management</w:t>
            </w:r>
            <w:r>
              <w:rPr>
                <w:color w:val="3C4043"/>
                <w:sz w:val="18"/>
                <w:szCs w:val="18"/>
              </w:rPr>
              <w:tab/>
            </w:r>
          </w:p>
          <w:p w14:paraId="239A708C"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 Activity 1.3. Exploring Complexity in the Urban Context (Recommended)</w:t>
            </w:r>
            <w:r>
              <w:rPr>
                <w:color w:val="3C4043"/>
                <w:sz w:val="18"/>
                <w:szCs w:val="18"/>
              </w:rPr>
              <w:tab/>
            </w:r>
          </w:p>
          <w:p w14:paraId="76DC63BA" w14:textId="77777777" w:rsidR="00597290" w:rsidRDefault="00000000">
            <w:pPr>
              <w:pBdr>
                <w:top w:val="nil"/>
                <w:left w:val="nil"/>
                <w:bottom w:val="nil"/>
                <w:right w:val="nil"/>
                <w:between w:val="nil"/>
              </w:pBdr>
              <w:spacing w:line="276" w:lineRule="auto"/>
              <w:rPr>
                <w:color w:val="3C4043"/>
                <w:sz w:val="18"/>
                <w:szCs w:val="18"/>
              </w:rPr>
            </w:pPr>
            <w:r>
              <w:rPr>
                <w:color w:val="3C4043"/>
                <w:sz w:val="18"/>
                <w:szCs w:val="18"/>
              </w:rPr>
              <w:t>1.3.D. Additional Reading</w:t>
            </w:r>
          </w:p>
        </w:tc>
      </w:tr>
      <w:tr w:rsidR="00597290" w14:paraId="51584A1D" w14:textId="77777777">
        <w:tc>
          <w:tcPr>
            <w:tcW w:w="2475" w:type="dxa"/>
          </w:tcPr>
          <w:p w14:paraId="6E77E4AC" w14:textId="77777777" w:rsidR="00597290" w:rsidRDefault="00000000">
            <w:pPr>
              <w:spacing w:line="276" w:lineRule="auto"/>
              <w:rPr>
                <w:sz w:val="18"/>
                <w:szCs w:val="18"/>
              </w:rPr>
            </w:pPr>
            <w:r>
              <w:rPr>
                <w:sz w:val="18"/>
                <w:szCs w:val="18"/>
              </w:rPr>
              <w:lastRenderedPageBreak/>
              <w:t xml:space="preserve">1.4 </w:t>
            </w:r>
          </w:p>
          <w:p w14:paraId="088C91B3" w14:textId="77777777" w:rsidR="00597290" w:rsidRDefault="00000000">
            <w:pPr>
              <w:spacing w:line="276" w:lineRule="auto"/>
              <w:rPr>
                <w:sz w:val="18"/>
                <w:szCs w:val="18"/>
              </w:rPr>
            </w:pPr>
            <w:r>
              <w:rPr>
                <w:sz w:val="18"/>
                <w:szCs w:val="18"/>
              </w:rPr>
              <w:t>Conclusions</w:t>
            </w:r>
          </w:p>
          <w:p w14:paraId="13BE3335" w14:textId="77777777" w:rsidR="00597290" w:rsidRDefault="00597290">
            <w:pPr>
              <w:spacing w:line="276" w:lineRule="auto"/>
              <w:rPr>
                <w:sz w:val="18"/>
                <w:szCs w:val="18"/>
              </w:rPr>
            </w:pPr>
          </w:p>
          <w:p w14:paraId="02BF2E0E" w14:textId="77777777" w:rsidR="00597290" w:rsidRDefault="00597290">
            <w:pPr>
              <w:spacing w:line="276" w:lineRule="auto"/>
              <w:rPr>
                <w:sz w:val="18"/>
                <w:szCs w:val="18"/>
              </w:rPr>
            </w:pPr>
          </w:p>
          <w:p w14:paraId="7B569298" w14:textId="77777777" w:rsidR="00597290" w:rsidRDefault="00597290">
            <w:pPr>
              <w:spacing w:line="276" w:lineRule="auto"/>
              <w:rPr>
                <w:sz w:val="18"/>
                <w:szCs w:val="18"/>
              </w:rPr>
            </w:pPr>
          </w:p>
          <w:p w14:paraId="4342C450" w14:textId="77777777" w:rsidR="00597290" w:rsidRDefault="00597290">
            <w:pPr>
              <w:spacing w:line="276" w:lineRule="auto"/>
              <w:rPr>
                <w:sz w:val="18"/>
                <w:szCs w:val="18"/>
              </w:rPr>
            </w:pPr>
          </w:p>
          <w:p w14:paraId="7371FB9D" w14:textId="77777777" w:rsidR="00597290" w:rsidRDefault="00597290">
            <w:pPr>
              <w:spacing w:line="276" w:lineRule="auto"/>
              <w:rPr>
                <w:sz w:val="18"/>
                <w:szCs w:val="18"/>
              </w:rPr>
            </w:pPr>
          </w:p>
        </w:tc>
        <w:tc>
          <w:tcPr>
            <w:tcW w:w="7605" w:type="dxa"/>
          </w:tcPr>
          <w:p w14:paraId="76CEABF8" w14:textId="77777777" w:rsidR="00597290" w:rsidRDefault="00000000">
            <w:pPr>
              <w:pBdr>
                <w:top w:val="nil"/>
                <w:left w:val="nil"/>
                <w:bottom w:val="nil"/>
                <w:right w:val="nil"/>
                <w:between w:val="nil"/>
              </w:pBdr>
              <w:spacing w:line="276" w:lineRule="auto"/>
              <w:ind w:left="425" w:hanging="360"/>
              <w:rPr>
                <w:color w:val="3C4043"/>
                <w:sz w:val="18"/>
                <w:szCs w:val="18"/>
              </w:rPr>
            </w:pPr>
            <w:r>
              <w:rPr>
                <w:color w:val="3C4043"/>
                <w:sz w:val="18"/>
                <w:szCs w:val="18"/>
              </w:rPr>
              <w:t>Module Conclusions</w:t>
            </w:r>
          </w:p>
          <w:p w14:paraId="71A845B2" w14:textId="77777777" w:rsidR="00597290" w:rsidRDefault="00597290">
            <w:pPr>
              <w:pBdr>
                <w:top w:val="nil"/>
                <w:left w:val="nil"/>
                <w:bottom w:val="nil"/>
                <w:right w:val="nil"/>
                <w:between w:val="nil"/>
              </w:pBdr>
              <w:spacing w:line="276" w:lineRule="auto"/>
              <w:ind w:left="425" w:hanging="360"/>
              <w:rPr>
                <w:color w:val="3C4043"/>
                <w:sz w:val="18"/>
                <w:szCs w:val="18"/>
              </w:rPr>
            </w:pPr>
          </w:p>
          <w:p w14:paraId="5F86C090" w14:textId="77777777" w:rsidR="00597290" w:rsidRDefault="00597290">
            <w:pPr>
              <w:pBdr>
                <w:top w:val="nil"/>
                <w:left w:val="nil"/>
                <w:bottom w:val="nil"/>
                <w:right w:val="nil"/>
                <w:between w:val="nil"/>
              </w:pBdr>
              <w:spacing w:line="276" w:lineRule="auto"/>
              <w:ind w:left="425" w:hanging="360"/>
              <w:rPr>
                <w:color w:val="3C4043"/>
                <w:sz w:val="18"/>
                <w:szCs w:val="18"/>
              </w:rPr>
            </w:pPr>
          </w:p>
          <w:p w14:paraId="4F963ABD" w14:textId="77777777" w:rsidR="00597290" w:rsidRDefault="00597290">
            <w:pPr>
              <w:pBdr>
                <w:top w:val="nil"/>
                <w:left w:val="nil"/>
                <w:bottom w:val="nil"/>
                <w:right w:val="nil"/>
                <w:between w:val="nil"/>
              </w:pBdr>
              <w:spacing w:line="276" w:lineRule="auto"/>
              <w:ind w:left="425" w:hanging="360"/>
              <w:rPr>
                <w:color w:val="3C4043"/>
                <w:sz w:val="18"/>
                <w:szCs w:val="18"/>
              </w:rPr>
            </w:pPr>
          </w:p>
        </w:tc>
      </w:tr>
      <w:tr w:rsidR="00597290" w14:paraId="40643C6D" w14:textId="77777777">
        <w:trPr>
          <w:trHeight w:val="401"/>
        </w:trPr>
        <w:tc>
          <w:tcPr>
            <w:tcW w:w="10080" w:type="dxa"/>
            <w:gridSpan w:val="2"/>
            <w:shd w:val="clear" w:color="auto" w:fill="CFE2F3"/>
            <w:vAlign w:val="center"/>
          </w:tcPr>
          <w:p w14:paraId="43201220" w14:textId="77777777" w:rsidR="00597290" w:rsidRDefault="00000000">
            <w:pPr>
              <w:spacing w:line="276" w:lineRule="auto"/>
              <w:rPr>
                <w:rFonts w:ascii="Oswald" w:eastAsia="Oswald" w:hAnsi="Oswald" w:cs="Oswald"/>
                <w:sz w:val="20"/>
                <w:szCs w:val="20"/>
              </w:rPr>
            </w:pPr>
            <w:r>
              <w:rPr>
                <w:rFonts w:ascii="Oswald" w:eastAsia="Oswald" w:hAnsi="Oswald" w:cs="Oswald"/>
                <w:color w:val="2F5496"/>
                <w:sz w:val="24"/>
                <w:szCs w:val="24"/>
              </w:rPr>
              <w:t xml:space="preserve">MODULE 2. Adapting and Applying Sphere Standards in Urban Contexts </w:t>
            </w:r>
          </w:p>
        </w:tc>
      </w:tr>
      <w:tr w:rsidR="00597290" w14:paraId="10E5A704" w14:textId="77777777">
        <w:tc>
          <w:tcPr>
            <w:tcW w:w="2475" w:type="dxa"/>
          </w:tcPr>
          <w:p w14:paraId="606F0387" w14:textId="77777777" w:rsidR="00597290" w:rsidRDefault="00000000">
            <w:pPr>
              <w:pBdr>
                <w:top w:val="nil"/>
                <w:left w:val="nil"/>
                <w:bottom w:val="nil"/>
                <w:right w:val="nil"/>
                <w:between w:val="nil"/>
              </w:pBdr>
              <w:spacing w:line="276" w:lineRule="auto"/>
              <w:rPr>
                <w:sz w:val="18"/>
                <w:szCs w:val="18"/>
              </w:rPr>
            </w:pPr>
            <w:r>
              <w:rPr>
                <w:sz w:val="18"/>
                <w:szCs w:val="18"/>
              </w:rPr>
              <w:t xml:space="preserve">2.0 </w:t>
            </w:r>
          </w:p>
          <w:p w14:paraId="1DE73B65" w14:textId="77777777" w:rsidR="00597290" w:rsidRDefault="00000000">
            <w:pPr>
              <w:pBdr>
                <w:top w:val="nil"/>
                <w:left w:val="nil"/>
                <w:bottom w:val="nil"/>
                <w:right w:val="nil"/>
                <w:between w:val="nil"/>
              </w:pBdr>
              <w:spacing w:line="276" w:lineRule="auto"/>
              <w:rPr>
                <w:sz w:val="18"/>
                <w:szCs w:val="18"/>
              </w:rPr>
            </w:pPr>
            <w:r>
              <w:rPr>
                <w:sz w:val="18"/>
                <w:szCs w:val="18"/>
              </w:rPr>
              <w:t>Introduction to Sphere Standards in Urban Contexts</w:t>
            </w:r>
            <w:r>
              <w:rPr>
                <w:sz w:val="18"/>
                <w:szCs w:val="18"/>
              </w:rPr>
              <w:tab/>
              <w:t>4</w:t>
            </w:r>
          </w:p>
        </w:tc>
        <w:tc>
          <w:tcPr>
            <w:tcW w:w="7605" w:type="dxa"/>
          </w:tcPr>
          <w:p w14:paraId="4ADE5401" w14:textId="77777777" w:rsidR="00597290" w:rsidRDefault="00000000">
            <w:pPr>
              <w:pBdr>
                <w:top w:val="nil"/>
                <w:left w:val="nil"/>
                <w:bottom w:val="nil"/>
                <w:right w:val="nil"/>
                <w:between w:val="nil"/>
              </w:pBdr>
              <w:spacing w:line="276" w:lineRule="auto"/>
              <w:rPr>
                <w:sz w:val="18"/>
                <w:szCs w:val="18"/>
              </w:rPr>
            </w:pPr>
            <w:r>
              <w:rPr>
                <w:sz w:val="18"/>
                <w:szCs w:val="18"/>
              </w:rPr>
              <w:t>2.0.A. Relating Needs, Context, &amp; Standards</w:t>
            </w:r>
            <w:r>
              <w:rPr>
                <w:sz w:val="18"/>
                <w:szCs w:val="18"/>
              </w:rPr>
              <w:tab/>
            </w:r>
          </w:p>
          <w:p w14:paraId="4E497AB0" w14:textId="77777777" w:rsidR="00597290" w:rsidRDefault="00000000">
            <w:pPr>
              <w:pBdr>
                <w:top w:val="nil"/>
                <w:left w:val="nil"/>
                <w:bottom w:val="nil"/>
                <w:right w:val="nil"/>
                <w:between w:val="nil"/>
              </w:pBdr>
              <w:spacing w:line="276" w:lineRule="auto"/>
              <w:rPr>
                <w:sz w:val="18"/>
                <w:szCs w:val="18"/>
              </w:rPr>
            </w:pPr>
            <w:r>
              <w:rPr>
                <w:sz w:val="18"/>
                <w:szCs w:val="18"/>
              </w:rPr>
              <w:t>2.0.B. Learning Objectives for Module 2</w:t>
            </w:r>
            <w:r>
              <w:rPr>
                <w:sz w:val="18"/>
                <w:szCs w:val="18"/>
              </w:rPr>
              <w:tab/>
            </w:r>
          </w:p>
          <w:p w14:paraId="73F480FC" w14:textId="77777777" w:rsidR="00597290" w:rsidRDefault="00000000">
            <w:pPr>
              <w:pBdr>
                <w:top w:val="nil"/>
                <w:left w:val="nil"/>
                <w:bottom w:val="nil"/>
                <w:right w:val="nil"/>
                <w:between w:val="nil"/>
              </w:pBdr>
              <w:spacing w:line="276" w:lineRule="auto"/>
              <w:rPr>
                <w:sz w:val="18"/>
                <w:szCs w:val="18"/>
              </w:rPr>
            </w:pPr>
            <w:r>
              <w:rPr>
                <w:sz w:val="18"/>
                <w:szCs w:val="18"/>
              </w:rPr>
              <w:t>2.0.C. Module Overview</w:t>
            </w:r>
            <w:r>
              <w:rPr>
                <w:sz w:val="18"/>
                <w:szCs w:val="18"/>
              </w:rPr>
              <w:tab/>
            </w:r>
          </w:p>
          <w:p w14:paraId="06053597" w14:textId="77777777" w:rsidR="00597290" w:rsidRDefault="00000000">
            <w:pPr>
              <w:pBdr>
                <w:top w:val="nil"/>
                <w:left w:val="nil"/>
                <w:bottom w:val="nil"/>
                <w:right w:val="nil"/>
                <w:between w:val="nil"/>
              </w:pBdr>
              <w:spacing w:line="276" w:lineRule="auto"/>
              <w:rPr>
                <w:sz w:val="18"/>
                <w:szCs w:val="18"/>
              </w:rPr>
            </w:pPr>
            <w:r>
              <w:rPr>
                <w:sz w:val="18"/>
                <w:szCs w:val="18"/>
              </w:rPr>
              <w:t>2.0.D. Additional Reading</w:t>
            </w:r>
            <w:r>
              <w:rPr>
                <w:sz w:val="18"/>
                <w:szCs w:val="18"/>
              </w:rPr>
              <w:tab/>
            </w:r>
          </w:p>
        </w:tc>
      </w:tr>
      <w:tr w:rsidR="00597290" w14:paraId="4BA7976D" w14:textId="77777777">
        <w:tc>
          <w:tcPr>
            <w:tcW w:w="2475" w:type="dxa"/>
          </w:tcPr>
          <w:p w14:paraId="55451107" w14:textId="77777777" w:rsidR="00597290" w:rsidRDefault="00000000">
            <w:pPr>
              <w:pBdr>
                <w:top w:val="nil"/>
                <w:left w:val="nil"/>
                <w:bottom w:val="nil"/>
                <w:right w:val="nil"/>
                <w:between w:val="nil"/>
              </w:pBdr>
              <w:spacing w:line="276" w:lineRule="auto"/>
              <w:rPr>
                <w:sz w:val="18"/>
                <w:szCs w:val="18"/>
              </w:rPr>
            </w:pPr>
            <w:r>
              <w:rPr>
                <w:sz w:val="18"/>
                <w:szCs w:val="18"/>
              </w:rPr>
              <w:t xml:space="preserve">2.1. </w:t>
            </w:r>
            <w:r>
              <w:rPr>
                <w:sz w:val="18"/>
                <w:szCs w:val="18"/>
              </w:rPr>
              <w:br/>
              <w:t>Defining the Sphere Standards</w:t>
            </w:r>
          </w:p>
        </w:tc>
        <w:tc>
          <w:tcPr>
            <w:tcW w:w="7605" w:type="dxa"/>
          </w:tcPr>
          <w:p w14:paraId="55AB2BCF" w14:textId="77777777" w:rsidR="00597290" w:rsidRDefault="00000000">
            <w:pPr>
              <w:spacing w:line="276" w:lineRule="auto"/>
              <w:rPr>
                <w:sz w:val="18"/>
                <w:szCs w:val="18"/>
              </w:rPr>
            </w:pPr>
            <w:r>
              <w:rPr>
                <w:sz w:val="18"/>
                <w:szCs w:val="18"/>
              </w:rPr>
              <w:t>2.1. Section Overview</w:t>
            </w:r>
            <w:r>
              <w:rPr>
                <w:sz w:val="18"/>
                <w:szCs w:val="18"/>
              </w:rPr>
              <w:tab/>
            </w:r>
          </w:p>
          <w:p w14:paraId="22BC7E1E" w14:textId="77777777" w:rsidR="00597290" w:rsidRDefault="00000000">
            <w:pPr>
              <w:spacing w:line="276" w:lineRule="auto"/>
              <w:rPr>
                <w:sz w:val="18"/>
                <w:szCs w:val="18"/>
              </w:rPr>
            </w:pPr>
            <w:r>
              <w:rPr>
                <w:sz w:val="18"/>
                <w:szCs w:val="18"/>
              </w:rPr>
              <w:t>2.1.A. Defining Sphere</w:t>
            </w:r>
            <w:r>
              <w:rPr>
                <w:sz w:val="18"/>
                <w:szCs w:val="18"/>
              </w:rPr>
              <w:tab/>
            </w:r>
          </w:p>
          <w:p w14:paraId="343EF72D" w14:textId="77777777" w:rsidR="00597290" w:rsidRDefault="00000000">
            <w:pPr>
              <w:spacing w:line="276" w:lineRule="auto"/>
              <w:rPr>
                <w:sz w:val="18"/>
                <w:szCs w:val="18"/>
              </w:rPr>
            </w:pPr>
            <w:r>
              <w:rPr>
                <w:sz w:val="18"/>
                <w:szCs w:val="18"/>
              </w:rPr>
              <w:t>🔵 Activity 2.1. HSP Card Arrangement Activity (Optional)</w:t>
            </w:r>
            <w:r>
              <w:rPr>
                <w:sz w:val="18"/>
                <w:szCs w:val="18"/>
              </w:rPr>
              <w:tab/>
            </w:r>
          </w:p>
          <w:p w14:paraId="6E9D4E9D" w14:textId="77777777" w:rsidR="00597290" w:rsidRDefault="00000000">
            <w:pPr>
              <w:spacing w:line="276" w:lineRule="auto"/>
              <w:rPr>
                <w:sz w:val="18"/>
                <w:szCs w:val="18"/>
              </w:rPr>
            </w:pPr>
            <w:r>
              <w:rPr>
                <w:sz w:val="18"/>
                <w:szCs w:val="18"/>
              </w:rPr>
              <w:t>2.1.B. The Sphere Handbook</w:t>
            </w:r>
            <w:r>
              <w:rPr>
                <w:sz w:val="18"/>
                <w:szCs w:val="18"/>
              </w:rPr>
              <w:tab/>
            </w:r>
          </w:p>
          <w:p w14:paraId="23DDD200" w14:textId="77777777" w:rsidR="00597290" w:rsidRDefault="00000000">
            <w:pPr>
              <w:spacing w:line="276" w:lineRule="auto"/>
              <w:rPr>
                <w:sz w:val="18"/>
                <w:szCs w:val="18"/>
              </w:rPr>
            </w:pPr>
            <w:r>
              <w:rPr>
                <w:sz w:val="18"/>
                <w:szCs w:val="18"/>
              </w:rPr>
              <w:t>2.1.C. Defining the Sphere Standards</w:t>
            </w:r>
            <w:r>
              <w:rPr>
                <w:sz w:val="18"/>
                <w:szCs w:val="18"/>
              </w:rPr>
              <w:tab/>
            </w:r>
          </w:p>
          <w:p w14:paraId="0FCE124F" w14:textId="77777777" w:rsidR="00597290" w:rsidRDefault="00000000">
            <w:pPr>
              <w:spacing w:line="276" w:lineRule="auto"/>
              <w:rPr>
                <w:sz w:val="18"/>
                <w:szCs w:val="18"/>
              </w:rPr>
            </w:pPr>
            <w:r>
              <w:rPr>
                <w:sz w:val="18"/>
                <w:szCs w:val="18"/>
              </w:rPr>
              <w:t>2.1.D. Meeting Sphere Standards</w:t>
            </w:r>
            <w:r>
              <w:rPr>
                <w:sz w:val="18"/>
                <w:szCs w:val="18"/>
              </w:rPr>
              <w:tab/>
            </w:r>
          </w:p>
          <w:p w14:paraId="6FA11F09" w14:textId="77777777" w:rsidR="00597290" w:rsidRDefault="00000000">
            <w:pPr>
              <w:spacing w:line="276" w:lineRule="auto"/>
              <w:rPr>
                <w:sz w:val="18"/>
                <w:szCs w:val="18"/>
              </w:rPr>
            </w:pPr>
            <w:r>
              <w:rPr>
                <w:sz w:val="18"/>
                <w:szCs w:val="18"/>
              </w:rPr>
              <w:t>🔴 Activity 2.1. Standards vs. Targets (Required)</w:t>
            </w:r>
            <w:r>
              <w:rPr>
                <w:sz w:val="18"/>
                <w:szCs w:val="18"/>
              </w:rPr>
              <w:tab/>
            </w:r>
          </w:p>
          <w:p w14:paraId="1330A145" w14:textId="77777777" w:rsidR="00597290" w:rsidRDefault="00000000">
            <w:pPr>
              <w:spacing w:line="276" w:lineRule="auto"/>
              <w:rPr>
                <w:sz w:val="18"/>
                <w:szCs w:val="18"/>
              </w:rPr>
            </w:pPr>
            <w:r>
              <w:rPr>
                <w:sz w:val="18"/>
                <w:szCs w:val="18"/>
              </w:rPr>
              <w:t>2.1.E. Additional Reading</w:t>
            </w:r>
            <w:r>
              <w:rPr>
                <w:sz w:val="18"/>
                <w:szCs w:val="18"/>
              </w:rPr>
              <w:tab/>
            </w:r>
          </w:p>
        </w:tc>
      </w:tr>
      <w:tr w:rsidR="00597290" w14:paraId="493528EC" w14:textId="77777777">
        <w:tc>
          <w:tcPr>
            <w:tcW w:w="2475" w:type="dxa"/>
          </w:tcPr>
          <w:p w14:paraId="776915BF" w14:textId="77777777" w:rsidR="00597290" w:rsidRDefault="00000000">
            <w:pPr>
              <w:pBdr>
                <w:top w:val="nil"/>
                <w:left w:val="nil"/>
                <w:bottom w:val="nil"/>
                <w:right w:val="nil"/>
                <w:between w:val="nil"/>
              </w:pBdr>
              <w:spacing w:line="276" w:lineRule="auto"/>
              <w:rPr>
                <w:sz w:val="18"/>
                <w:szCs w:val="18"/>
              </w:rPr>
            </w:pPr>
            <w:r>
              <w:rPr>
                <w:sz w:val="18"/>
                <w:szCs w:val="18"/>
              </w:rPr>
              <w:t xml:space="preserve">2.2. </w:t>
            </w:r>
          </w:p>
          <w:p w14:paraId="157448D6" w14:textId="77777777" w:rsidR="00597290" w:rsidRDefault="00000000">
            <w:pPr>
              <w:spacing w:line="276" w:lineRule="auto"/>
              <w:rPr>
                <w:sz w:val="18"/>
                <w:szCs w:val="18"/>
              </w:rPr>
            </w:pPr>
            <w:r>
              <w:rPr>
                <w:sz w:val="18"/>
                <w:szCs w:val="18"/>
              </w:rPr>
              <w:t>Conceptualising the Sphere Standards in Urban Contexts</w:t>
            </w:r>
            <w:r>
              <w:rPr>
                <w:sz w:val="18"/>
                <w:szCs w:val="18"/>
              </w:rPr>
              <w:tab/>
            </w:r>
          </w:p>
        </w:tc>
        <w:tc>
          <w:tcPr>
            <w:tcW w:w="7605" w:type="dxa"/>
          </w:tcPr>
          <w:p w14:paraId="291AE461" w14:textId="77777777" w:rsidR="00597290" w:rsidRDefault="00000000">
            <w:pPr>
              <w:spacing w:line="276" w:lineRule="auto"/>
              <w:rPr>
                <w:sz w:val="18"/>
                <w:szCs w:val="18"/>
              </w:rPr>
            </w:pPr>
            <w:r>
              <w:rPr>
                <w:sz w:val="18"/>
                <w:szCs w:val="18"/>
              </w:rPr>
              <w:t>2.2. Section Overview</w:t>
            </w:r>
            <w:r>
              <w:rPr>
                <w:sz w:val="18"/>
                <w:szCs w:val="18"/>
              </w:rPr>
              <w:tab/>
            </w:r>
          </w:p>
          <w:p w14:paraId="07B81E48" w14:textId="77777777" w:rsidR="00597290" w:rsidRDefault="00000000">
            <w:pPr>
              <w:spacing w:line="276" w:lineRule="auto"/>
              <w:rPr>
                <w:sz w:val="18"/>
                <w:szCs w:val="18"/>
              </w:rPr>
            </w:pPr>
            <w:r>
              <w:rPr>
                <w:sz w:val="18"/>
                <w:szCs w:val="18"/>
              </w:rPr>
              <w:t>2.2.A. Sphere Standards in Urban Contexts</w:t>
            </w:r>
            <w:r>
              <w:rPr>
                <w:sz w:val="18"/>
                <w:szCs w:val="18"/>
              </w:rPr>
              <w:tab/>
            </w:r>
          </w:p>
          <w:p w14:paraId="3D6E56BF" w14:textId="77777777" w:rsidR="00597290" w:rsidRDefault="00000000">
            <w:pPr>
              <w:spacing w:line="276" w:lineRule="auto"/>
              <w:rPr>
                <w:sz w:val="18"/>
                <w:szCs w:val="18"/>
              </w:rPr>
            </w:pPr>
            <w:r>
              <w:rPr>
                <w:sz w:val="18"/>
                <w:szCs w:val="18"/>
              </w:rPr>
              <w:t>2.2.B. Urban Complexity &amp; Sphere</w:t>
            </w:r>
            <w:r>
              <w:rPr>
                <w:sz w:val="18"/>
                <w:szCs w:val="18"/>
              </w:rPr>
              <w:tab/>
            </w:r>
          </w:p>
          <w:p w14:paraId="4D02A5C4" w14:textId="77777777" w:rsidR="00597290" w:rsidRDefault="00000000">
            <w:pPr>
              <w:spacing w:line="276" w:lineRule="auto"/>
              <w:rPr>
                <w:sz w:val="18"/>
                <w:szCs w:val="18"/>
              </w:rPr>
            </w:pPr>
            <w:r>
              <w:rPr>
                <w:sz w:val="18"/>
                <w:szCs w:val="18"/>
              </w:rPr>
              <w:t>2.2.C. Case Study: War in Ukraine</w:t>
            </w:r>
            <w:r>
              <w:rPr>
                <w:sz w:val="18"/>
                <w:szCs w:val="18"/>
              </w:rPr>
              <w:tab/>
            </w:r>
          </w:p>
          <w:p w14:paraId="799E3BDF" w14:textId="77777777" w:rsidR="00597290" w:rsidRDefault="00000000">
            <w:pPr>
              <w:spacing w:line="276" w:lineRule="auto"/>
              <w:rPr>
                <w:sz w:val="18"/>
                <w:szCs w:val="18"/>
              </w:rPr>
            </w:pPr>
            <w:r>
              <w:rPr>
                <w:sz w:val="18"/>
                <w:szCs w:val="18"/>
              </w:rPr>
              <w:t>🔴 Activity 2.2. Exploring Standards in the Urban Context (Required)</w:t>
            </w:r>
            <w:r>
              <w:rPr>
                <w:sz w:val="18"/>
                <w:szCs w:val="18"/>
              </w:rPr>
              <w:tab/>
            </w:r>
          </w:p>
          <w:p w14:paraId="466BDAE3" w14:textId="77777777" w:rsidR="00597290" w:rsidRDefault="00000000">
            <w:pPr>
              <w:spacing w:line="276" w:lineRule="auto"/>
              <w:rPr>
                <w:sz w:val="18"/>
                <w:szCs w:val="18"/>
              </w:rPr>
            </w:pPr>
            <w:r>
              <w:rPr>
                <w:sz w:val="18"/>
                <w:szCs w:val="18"/>
              </w:rPr>
              <w:t>2.2.D. Conceptualising Application</w:t>
            </w:r>
            <w:r>
              <w:rPr>
                <w:sz w:val="18"/>
                <w:szCs w:val="18"/>
              </w:rPr>
              <w:tab/>
            </w:r>
          </w:p>
          <w:p w14:paraId="32B9207D" w14:textId="77777777" w:rsidR="00597290" w:rsidRDefault="00000000">
            <w:pPr>
              <w:spacing w:line="276" w:lineRule="auto"/>
              <w:rPr>
                <w:sz w:val="18"/>
                <w:szCs w:val="18"/>
              </w:rPr>
            </w:pPr>
            <w:r>
              <w:rPr>
                <w:sz w:val="18"/>
                <w:szCs w:val="18"/>
              </w:rPr>
              <w:t>2.2.E. Adapting Indicators</w:t>
            </w:r>
            <w:r>
              <w:rPr>
                <w:sz w:val="18"/>
                <w:szCs w:val="18"/>
              </w:rPr>
              <w:tab/>
            </w:r>
          </w:p>
          <w:p w14:paraId="03203614" w14:textId="77777777" w:rsidR="00597290" w:rsidRDefault="00000000">
            <w:pPr>
              <w:spacing w:line="276" w:lineRule="auto"/>
              <w:rPr>
                <w:sz w:val="18"/>
                <w:szCs w:val="18"/>
              </w:rPr>
            </w:pPr>
            <w:r>
              <w:rPr>
                <w:sz w:val="18"/>
                <w:szCs w:val="18"/>
              </w:rPr>
              <w:t>🔴 Activity 2.2. Adapting Indicators for the Urban Context (Required)</w:t>
            </w:r>
            <w:r>
              <w:rPr>
                <w:sz w:val="18"/>
                <w:szCs w:val="18"/>
              </w:rPr>
              <w:tab/>
            </w:r>
          </w:p>
          <w:p w14:paraId="05C74881" w14:textId="77777777" w:rsidR="00597290" w:rsidRDefault="00000000">
            <w:pPr>
              <w:spacing w:line="276" w:lineRule="auto"/>
              <w:rPr>
                <w:sz w:val="18"/>
                <w:szCs w:val="18"/>
              </w:rPr>
            </w:pPr>
            <w:r>
              <w:rPr>
                <w:sz w:val="18"/>
                <w:szCs w:val="18"/>
              </w:rPr>
              <w:t>2.2.F. Additional Reading</w:t>
            </w:r>
            <w:r>
              <w:rPr>
                <w:sz w:val="18"/>
                <w:szCs w:val="18"/>
              </w:rPr>
              <w:tab/>
            </w:r>
          </w:p>
        </w:tc>
      </w:tr>
      <w:tr w:rsidR="00597290" w14:paraId="28019C77" w14:textId="77777777">
        <w:tc>
          <w:tcPr>
            <w:tcW w:w="2475" w:type="dxa"/>
          </w:tcPr>
          <w:p w14:paraId="176FCF14" w14:textId="77777777" w:rsidR="00597290" w:rsidRDefault="00000000">
            <w:pPr>
              <w:pBdr>
                <w:top w:val="nil"/>
                <w:left w:val="nil"/>
                <w:bottom w:val="nil"/>
                <w:right w:val="nil"/>
                <w:between w:val="nil"/>
              </w:pBdr>
              <w:spacing w:line="276" w:lineRule="auto"/>
              <w:rPr>
                <w:sz w:val="18"/>
                <w:szCs w:val="18"/>
              </w:rPr>
            </w:pPr>
            <w:r>
              <w:rPr>
                <w:sz w:val="18"/>
                <w:szCs w:val="18"/>
              </w:rPr>
              <w:t xml:space="preserve">2.3 </w:t>
            </w:r>
          </w:p>
          <w:p w14:paraId="3767E54B" w14:textId="77777777" w:rsidR="00597290" w:rsidRDefault="00000000">
            <w:pPr>
              <w:pBdr>
                <w:top w:val="nil"/>
                <w:left w:val="nil"/>
                <w:bottom w:val="nil"/>
                <w:right w:val="nil"/>
                <w:between w:val="nil"/>
              </w:pBdr>
              <w:spacing w:line="276" w:lineRule="auto"/>
              <w:rPr>
                <w:sz w:val="18"/>
                <w:szCs w:val="18"/>
              </w:rPr>
            </w:pPr>
            <w:r>
              <w:rPr>
                <w:sz w:val="18"/>
                <w:szCs w:val="18"/>
              </w:rPr>
              <w:t>Applying the Sphere Standards in Urban Contexts</w:t>
            </w:r>
          </w:p>
        </w:tc>
        <w:tc>
          <w:tcPr>
            <w:tcW w:w="7605" w:type="dxa"/>
          </w:tcPr>
          <w:p w14:paraId="27D43C79" w14:textId="77777777" w:rsidR="00597290" w:rsidRDefault="00000000">
            <w:pPr>
              <w:spacing w:line="276" w:lineRule="auto"/>
              <w:rPr>
                <w:sz w:val="18"/>
                <w:szCs w:val="18"/>
              </w:rPr>
            </w:pPr>
            <w:r>
              <w:rPr>
                <w:sz w:val="18"/>
                <w:szCs w:val="18"/>
              </w:rPr>
              <w:t>2.3. Section Overview</w:t>
            </w:r>
            <w:r>
              <w:rPr>
                <w:sz w:val="18"/>
                <w:szCs w:val="18"/>
              </w:rPr>
              <w:tab/>
            </w:r>
          </w:p>
          <w:p w14:paraId="1420B9B6" w14:textId="77777777" w:rsidR="00597290" w:rsidRDefault="00000000">
            <w:pPr>
              <w:spacing w:line="276" w:lineRule="auto"/>
              <w:rPr>
                <w:sz w:val="18"/>
                <w:szCs w:val="18"/>
              </w:rPr>
            </w:pPr>
            <w:r>
              <w:rPr>
                <w:sz w:val="18"/>
                <w:szCs w:val="18"/>
              </w:rPr>
              <w:t>2.3.A. Practise Applying the Standards</w:t>
            </w:r>
            <w:r>
              <w:rPr>
                <w:sz w:val="18"/>
                <w:szCs w:val="18"/>
              </w:rPr>
              <w:tab/>
            </w:r>
          </w:p>
          <w:p w14:paraId="46814718" w14:textId="77777777" w:rsidR="00597290" w:rsidRDefault="00000000">
            <w:pPr>
              <w:spacing w:line="276" w:lineRule="auto"/>
              <w:rPr>
                <w:sz w:val="18"/>
                <w:szCs w:val="18"/>
              </w:rPr>
            </w:pPr>
            <w:r>
              <w:rPr>
                <w:sz w:val="18"/>
                <w:szCs w:val="18"/>
              </w:rPr>
              <w:t>🔴 Activity 2.3. Standards, Indicators, and Systems (Required)</w:t>
            </w:r>
            <w:r>
              <w:rPr>
                <w:sz w:val="18"/>
                <w:szCs w:val="18"/>
              </w:rPr>
              <w:tab/>
            </w:r>
          </w:p>
          <w:p w14:paraId="68914499" w14:textId="77777777" w:rsidR="00597290" w:rsidRDefault="00000000">
            <w:pPr>
              <w:spacing w:line="276" w:lineRule="auto"/>
              <w:rPr>
                <w:sz w:val="18"/>
                <w:szCs w:val="18"/>
              </w:rPr>
            </w:pPr>
            <w:r>
              <w:rPr>
                <w:sz w:val="18"/>
                <w:szCs w:val="18"/>
              </w:rPr>
              <w:t>2.3.B. Additional Reading</w:t>
            </w:r>
            <w:r>
              <w:rPr>
                <w:sz w:val="18"/>
                <w:szCs w:val="18"/>
              </w:rPr>
              <w:tab/>
            </w:r>
          </w:p>
        </w:tc>
      </w:tr>
      <w:tr w:rsidR="00597290" w14:paraId="10D2F8B8" w14:textId="77777777">
        <w:tc>
          <w:tcPr>
            <w:tcW w:w="2475" w:type="dxa"/>
          </w:tcPr>
          <w:p w14:paraId="60DC56DF" w14:textId="77777777" w:rsidR="00597290" w:rsidRDefault="00000000">
            <w:pPr>
              <w:pBdr>
                <w:top w:val="nil"/>
                <w:left w:val="nil"/>
                <w:bottom w:val="nil"/>
                <w:right w:val="nil"/>
                <w:between w:val="nil"/>
              </w:pBdr>
              <w:spacing w:line="276" w:lineRule="auto"/>
              <w:rPr>
                <w:sz w:val="18"/>
                <w:szCs w:val="18"/>
              </w:rPr>
            </w:pPr>
            <w:r>
              <w:rPr>
                <w:sz w:val="18"/>
                <w:szCs w:val="18"/>
              </w:rPr>
              <w:t>2.4</w:t>
            </w:r>
          </w:p>
          <w:p w14:paraId="7FFD9A73" w14:textId="77777777" w:rsidR="00597290" w:rsidRDefault="00000000">
            <w:pPr>
              <w:pBdr>
                <w:top w:val="nil"/>
                <w:left w:val="nil"/>
                <w:bottom w:val="nil"/>
                <w:right w:val="nil"/>
                <w:between w:val="nil"/>
              </w:pBdr>
              <w:spacing w:line="276" w:lineRule="auto"/>
              <w:rPr>
                <w:sz w:val="18"/>
                <w:szCs w:val="18"/>
              </w:rPr>
            </w:pPr>
            <w:r>
              <w:rPr>
                <w:sz w:val="18"/>
                <w:szCs w:val="18"/>
              </w:rPr>
              <w:t>Key Considerations</w:t>
            </w:r>
          </w:p>
        </w:tc>
        <w:tc>
          <w:tcPr>
            <w:tcW w:w="7605" w:type="dxa"/>
          </w:tcPr>
          <w:p w14:paraId="3F1B2E21" w14:textId="77777777" w:rsidR="00597290" w:rsidRDefault="00000000">
            <w:pPr>
              <w:spacing w:line="276" w:lineRule="auto"/>
              <w:rPr>
                <w:sz w:val="18"/>
                <w:szCs w:val="18"/>
              </w:rPr>
            </w:pPr>
            <w:r>
              <w:rPr>
                <w:sz w:val="18"/>
                <w:szCs w:val="18"/>
              </w:rPr>
              <w:t>Section 2.4. Key Considerations</w:t>
            </w:r>
            <w:r>
              <w:rPr>
                <w:sz w:val="18"/>
                <w:szCs w:val="18"/>
              </w:rPr>
              <w:tab/>
            </w:r>
          </w:p>
          <w:p w14:paraId="10C587AD" w14:textId="77777777" w:rsidR="00597290" w:rsidRDefault="00000000">
            <w:pPr>
              <w:spacing w:line="276" w:lineRule="auto"/>
              <w:rPr>
                <w:sz w:val="18"/>
                <w:szCs w:val="18"/>
              </w:rPr>
            </w:pPr>
            <w:r>
              <w:rPr>
                <w:sz w:val="18"/>
                <w:szCs w:val="18"/>
              </w:rPr>
              <w:t>2.4. Section Overview</w:t>
            </w:r>
            <w:r>
              <w:rPr>
                <w:sz w:val="18"/>
                <w:szCs w:val="18"/>
              </w:rPr>
              <w:tab/>
            </w:r>
          </w:p>
          <w:p w14:paraId="04F2A99B" w14:textId="77777777" w:rsidR="00597290" w:rsidRDefault="00000000">
            <w:pPr>
              <w:spacing w:line="276" w:lineRule="auto"/>
              <w:rPr>
                <w:sz w:val="18"/>
                <w:szCs w:val="18"/>
              </w:rPr>
            </w:pPr>
            <w:r>
              <w:rPr>
                <w:sz w:val="18"/>
                <w:szCs w:val="18"/>
              </w:rPr>
              <w:t>🔴 Activity 2.4. Peer Learning (Required)</w:t>
            </w:r>
            <w:r>
              <w:rPr>
                <w:sz w:val="18"/>
                <w:szCs w:val="18"/>
              </w:rPr>
              <w:tab/>
            </w:r>
          </w:p>
          <w:p w14:paraId="6C6143CC" w14:textId="77777777" w:rsidR="00597290" w:rsidRDefault="00000000">
            <w:pPr>
              <w:spacing w:line="276" w:lineRule="auto"/>
              <w:rPr>
                <w:sz w:val="18"/>
                <w:szCs w:val="18"/>
              </w:rPr>
            </w:pPr>
            <w:r>
              <w:rPr>
                <w:sz w:val="18"/>
                <w:szCs w:val="18"/>
              </w:rPr>
              <w:t>2.4.A. Lessons Learned</w:t>
            </w:r>
            <w:r>
              <w:rPr>
                <w:sz w:val="18"/>
                <w:szCs w:val="18"/>
              </w:rPr>
              <w:tab/>
            </w:r>
          </w:p>
          <w:p w14:paraId="6A72D48E" w14:textId="77777777" w:rsidR="00597290" w:rsidRDefault="00000000">
            <w:pPr>
              <w:spacing w:line="276" w:lineRule="auto"/>
              <w:rPr>
                <w:sz w:val="18"/>
                <w:szCs w:val="18"/>
              </w:rPr>
            </w:pPr>
            <w:r>
              <w:rPr>
                <w:sz w:val="18"/>
                <w:szCs w:val="18"/>
              </w:rPr>
              <w:t>2.4.B. Key Takeaways</w:t>
            </w:r>
            <w:r>
              <w:rPr>
                <w:sz w:val="18"/>
                <w:szCs w:val="18"/>
              </w:rPr>
              <w:tab/>
            </w:r>
          </w:p>
          <w:p w14:paraId="525137B5" w14:textId="77777777" w:rsidR="00597290" w:rsidRDefault="00000000">
            <w:pPr>
              <w:spacing w:line="276" w:lineRule="auto"/>
              <w:rPr>
                <w:sz w:val="18"/>
                <w:szCs w:val="18"/>
              </w:rPr>
            </w:pPr>
            <w:r>
              <w:rPr>
                <w:sz w:val="18"/>
                <w:szCs w:val="18"/>
              </w:rPr>
              <w:t>2.4.C. Additional Reading</w:t>
            </w:r>
            <w:r>
              <w:rPr>
                <w:sz w:val="18"/>
                <w:szCs w:val="18"/>
              </w:rPr>
              <w:tab/>
            </w:r>
          </w:p>
        </w:tc>
      </w:tr>
      <w:tr w:rsidR="00597290" w14:paraId="41934573" w14:textId="77777777">
        <w:tc>
          <w:tcPr>
            <w:tcW w:w="2475" w:type="dxa"/>
          </w:tcPr>
          <w:p w14:paraId="089C55C8" w14:textId="77777777" w:rsidR="00597290" w:rsidRDefault="00000000">
            <w:pPr>
              <w:pBdr>
                <w:top w:val="nil"/>
                <w:left w:val="nil"/>
                <w:bottom w:val="nil"/>
                <w:right w:val="nil"/>
                <w:between w:val="nil"/>
              </w:pBdr>
              <w:spacing w:line="276" w:lineRule="auto"/>
              <w:rPr>
                <w:sz w:val="18"/>
                <w:szCs w:val="18"/>
              </w:rPr>
            </w:pPr>
            <w:r>
              <w:rPr>
                <w:sz w:val="18"/>
                <w:szCs w:val="18"/>
              </w:rPr>
              <w:t>2.5</w:t>
            </w:r>
          </w:p>
          <w:p w14:paraId="70939034" w14:textId="77777777" w:rsidR="00597290" w:rsidRDefault="00000000">
            <w:pPr>
              <w:pBdr>
                <w:top w:val="nil"/>
                <w:left w:val="nil"/>
                <w:bottom w:val="nil"/>
                <w:right w:val="nil"/>
                <w:between w:val="nil"/>
              </w:pBdr>
              <w:spacing w:line="276" w:lineRule="auto"/>
              <w:rPr>
                <w:sz w:val="18"/>
                <w:szCs w:val="18"/>
              </w:rPr>
            </w:pPr>
            <w:r>
              <w:rPr>
                <w:sz w:val="18"/>
                <w:szCs w:val="18"/>
              </w:rPr>
              <w:t>Conclusions</w:t>
            </w:r>
          </w:p>
        </w:tc>
        <w:tc>
          <w:tcPr>
            <w:tcW w:w="7605" w:type="dxa"/>
          </w:tcPr>
          <w:p w14:paraId="680FFDB8" w14:textId="77777777" w:rsidR="00597290" w:rsidRDefault="00000000">
            <w:pPr>
              <w:spacing w:line="276" w:lineRule="auto"/>
              <w:rPr>
                <w:sz w:val="18"/>
                <w:szCs w:val="18"/>
              </w:rPr>
            </w:pPr>
            <w:r>
              <w:rPr>
                <w:sz w:val="18"/>
                <w:szCs w:val="18"/>
              </w:rPr>
              <w:t>2.5.A. Module 2 Conclusions</w:t>
            </w:r>
            <w:r>
              <w:rPr>
                <w:sz w:val="18"/>
                <w:szCs w:val="18"/>
              </w:rPr>
              <w:tab/>
            </w:r>
          </w:p>
          <w:p w14:paraId="48856C29" w14:textId="77777777" w:rsidR="00597290" w:rsidRDefault="00000000">
            <w:pPr>
              <w:spacing w:line="276" w:lineRule="auto"/>
              <w:rPr>
                <w:sz w:val="18"/>
                <w:szCs w:val="18"/>
              </w:rPr>
            </w:pPr>
            <w:r>
              <w:rPr>
                <w:sz w:val="18"/>
                <w:szCs w:val="18"/>
              </w:rPr>
              <w:t>2.5.B. Overview of Module 3. The Capstone Simulation Exercise</w:t>
            </w:r>
            <w:r>
              <w:rPr>
                <w:sz w:val="18"/>
                <w:szCs w:val="18"/>
              </w:rPr>
              <w:br/>
            </w:r>
          </w:p>
        </w:tc>
      </w:tr>
      <w:tr w:rsidR="00597290" w14:paraId="1C639CDA" w14:textId="77777777">
        <w:trPr>
          <w:trHeight w:val="510"/>
        </w:trPr>
        <w:tc>
          <w:tcPr>
            <w:tcW w:w="10080" w:type="dxa"/>
            <w:gridSpan w:val="2"/>
            <w:shd w:val="clear" w:color="auto" w:fill="CFE2F3"/>
            <w:vAlign w:val="center"/>
          </w:tcPr>
          <w:p w14:paraId="49DC1D7A" w14:textId="77777777" w:rsidR="00597290" w:rsidRDefault="00000000">
            <w:pPr>
              <w:spacing w:line="276" w:lineRule="auto"/>
              <w:rPr>
                <w:rFonts w:ascii="Oswald" w:eastAsia="Oswald" w:hAnsi="Oswald" w:cs="Oswald"/>
                <w:sz w:val="20"/>
                <w:szCs w:val="20"/>
              </w:rPr>
            </w:pPr>
            <w:r>
              <w:rPr>
                <w:rFonts w:ascii="Oswald" w:eastAsia="Oswald" w:hAnsi="Oswald" w:cs="Oswald"/>
                <w:color w:val="2F5496"/>
                <w:sz w:val="24"/>
                <w:szCs w:val="24"/>
              </w:rPr>
              <w:t xml:space="preserve">MODULE 3. Applying the Sphere Standards to an Urban Humanitarian Response TTX </w:t>
            </w:r>
          </w:p>
        </w:tc>
      </w:tr>
      <w:tr w:rsidR="00597290" w14:paraId="32B66532" w14:textId="77777777">
        <w:tc>
          <w:tcPr>
            <w:tcW w:w="2475" w:type="dxa"/>
          </w:tcPr>
          <w:p w14:paraId="34850E45" w14:textId="77777777" w:rsidR="00597290" w:rsidRDefault="00000000">
            <w:pPr>
              <w:pBdr>
                <w:top w:val="nil"/>
                <w:left w:val="nil"/>
                <w:bottom w:val="nil"/>
                <w:right w:val="nil"/>
                <w:between w:val="nil"/>
              </w:pBdr>
              <w:spacing w:line="276" w:lineRule="auto"/>
              <w:rPr>
                <w:sz w:val="18"/>
                <w:szCs w:val="18"/>
              </w:rPr>
            </w:pPr>
            <w:r>
              <w:rPr>
                <w:sz w:val="18"/>
                <w:szCs w:val="18"/>
              </w:rPr>
              <w:t xml:space="preserve">3.0 </w:t>
            </w:r>
          </w:p>
          <w:p w14:paraId="6F8133F2" w14:textId="77777777" w:rsidR="00597290" w:rsidRDefault="00000000">
            <w:pPr>
              <w:pBdr>
                <w:top w:val="nil"/>
                <w:left w:val="nil"/>
                <w:bottom w:val="nil"/>
                <w:right w:val="nil"/>
                <w:between w:val="nil"/>
              </w:pBdr>
              <w:spacing w:line="276" w:lineRule="auto"/>
              <w:rPr>
                <w:sz w:val="18"/>
                <w:szCs w:val="18"/>
              </w:rPr>
            </w:pPr>
            <w:r>
              <w:rPr>
                <w:sz w:val="18"/>
                <w:szCs w:val="18"/>
              </w:rPr>
              <w:t>Introduction to the TTX</w:t>
            </w:r>
          </w:p>
        </w:tc>
        <w:tc>
          <w:tcPr>
            <w:tcW w:w="7605" w:type="dxa"/>
          </w:tcPr>
          <w:p w14:paraId="4AB2C4AC" w14:textId="77777777" w:rsidR="00597290" w:rsidRDefault="00000000">
            <w:pPr>
              <w:pBdr>
                <w:top w:val="nil"/>
                <w:left w:val="nil"/>
                <w:bottom w:val="nil"/>
                <w:right w:val="nil"/>
                <w:between w:val="nil"/>
              </w:pBdr>
              <w:spacing w:line="276" w:lineRule="auto"/>
              <w:rPr>
                <w:sz w:val="18"/>
                <w:szCs w:val="18"/>
              </w:rPr>
            </w:pPr>
            <w:r>
              <w:rPr>
                <w:sz w:val="18"/>
                <w:szCs w:val="18"/>
              </w:rPr>
              <w:t>3.0 Introduction</w:t>
            </w:r>
          </w:p>
          <w:p w14:paraId="472FDAC4" w14:textId="77777777" w:rsidR="00597290" w:rsidRDefault="00000000">
            <w:pPr>
              <w:pBdr>
                <w:top w:val="nil"/>
                <w:left w:val="nil"/>
                <w:bottom w:val="nil"/>
                <w:right w:val="nil"/>
                <w:between w:val="nil"/>
              </w:pBdr>
              <w:spacing w:line="276" w:lineRule="auto"/>
              <w:rPr>
                <w:sz w:val="18"/>
                <w:szCs w:val="18"/>
              </w:rPr>
            </w:pPr>
            <w:r>
              <w:rPr>
                <w:sz w:val="18"/>
                <w:szCs w:val="18"/>
              </w:rPr>
              <w:t>3.1 Roles</w:t>
            </w:r>
          </w:p>
          <w:p w14:paraId="11E87AB5" w14:textId="77777777" w:rsidR="00597290" w:rsidRDefault="00000000">
            <w:pPr>
              <w:pBdr>
                <w:top w:val="nil"/>
                <w:left w:val="nil"/>
                <w:bottom w:val="nil"/>
                <w:right w:val="nil"/>
                <w:between w:val="nil"/>
              </w:pBdr>
              <w:spacing w:line="276" w:lineRule="auto"/>
              <w:rPr>
                <w:sz w:val="18"/>
                <w:szCs w:val="18"/>
              </w:rPr>
            </w:pPr>
            <w:r>
              <w:rPr>
                <w:sz w:val="18"/>
                <w:szCs w:val="18"/>
              </w:rPr>
              <w:t>3.2 Exercise Landscape</w:t>
            </w:r>
          </w:p>
          <w:p w14:paraId="1EB81BA4" w14:textId="77777777" w:rsidR="00597290" w:rsidRDefault="00000000">
            <w:pPr>
              <w:pBdr>
                <w:top w:val="nil"/>
                <w:left w:val="nil"/>
                <w:bottom w:val="nil"/>
                <w:right w:val="nil"/>
                <w:between w:val="nil"/>
              </w:pBdr>
              <w:spacing w:line="276" w:lineRule="auto"/>
              <w:rPr>
                <w:sz w:val="18"/>
                <w:szCs w:val="18"/>
              </w:rPr>
            </w:pPr>
            <w:r>
              <w:rPr>
                <w:sz w:val="18"/>
                <w:szCs w:val="18"/>
              </w:rPr>
              <w:lastRenderedPageBreak/>
              <w:t>3.3 Actions</w:t>
            </w:r>
          </w:p>
          <w:p w14:paraId="18092AA9" w14:textId="77777777" w:rsidR="00597290" w:rsidRDefault="00000000">
            <w:pPr>
              <w:pBdr>
                <w:top w:val="nil"/>
                <w:left w:val="nil"/>
                <w:bottom w:val="nil"/>
                <w:right w:val="nil"/>
                <w:between w:val="nil"/>
              </w:pBdr>
              <w:spacing w:line="276" w:lineRule="auto"/>
              <w:rPr>
                <w:sz w:val="18"/>
                <w:szCs w:val="18"/>
              </w:rPr>
            </w:pPr>
            <w:r>
              <w:rPr>
                <w:sz w:val="18"/>
                <w:szCs w:val="18"/>
              </w:rPr>
              <w:t>3.4 Submitting Actions</w:t>
            </w:r>
          </w:p>
        </w:tc>
      </w:tr>
      <w:tr w:rsidR="00597290" w14:paraId="1B55873D" w14:textId="77777777">
        <w:tc>
          <w:tcPr>
            <w:tcW w:w="2475" w:type="dxa"/>
          </w:tcPr>
          <w:p w14:paraId="1A54F3CD" w14:textId="77777777" w:rsidR="00597290" w:rsidRDefault="00000000">
            <w:pPr>
              <w:pBdr>
                <w:top w:val="nil"/>
                <w:left w:val="nil"/>
                <w:bottom w:val="nil"/>
                <w:right w:val="nil"/>
                <w:between w:val="nil"/>
              </w:pBdr>
              <w:spacing w:line="276" w:lineRule="auto"/>
              <w:rPr>
                <w:sz w:val="18"/>
                <w:szCs w:val="18"/>
              </w:rPr>
            </w:pPr>
            <w:r>
              <w:rPr>
                <w:sz w:val="18"/>
                <w:szCs w:val="18"/>
              </w:rPr>
              <w:lastRenderedPageBreak/>
              <w:t>3.1</w:t>
            </w:r>
          </w:p>
          <w:p w14:paraId="4819C1A2" w14:textId="77777777" w:rsidR="00597290" w:rsidRDefault="00000000">
            <w:pPr>
              <w:pBdr>
                <w:top w:val="nil"/>
                <w:left w:val="nil"/>
                <w:bottom w:val="nil"/>
                <w:right w:val="nil"/>
                <w:between w:val="nil"/>
              </w:pBdr>
              <w:spacing w:line="276" w:lineRule="auto"/>
              <w:rPr>
                <w:sz w:val="18"/>
                <w:szCs w:val="18"/>
              </w:rPr>
            </w:pPr>
            <w:r>
              <w:rPr>
                <w:sz w:val="18"/>
                <w:szCs w:val="18"/>
              </w:rPr>
              <w:t>Simulation</w:t>
            </w:r>
          </w:p>
        </w:tc>
        <w:tc>
          <w:tcPr>
            <w:tcW w:w="7605" w:type="dxa"/>
          </w:tcPr>
          <w:p w14:paraId="1F264C9B" w14:textId="77777777" w:rsidR="00597290" w:rsidRDefault="00000000">
            <w:pPr>
              <w:pBdr>
                <w:top w:val="nil"/>
                <w:left w:val="nil"/>
                <w:bottom w:val="nil"/>
                <w:right w:val="nil"/>
                <w:between w:val="nil"/>
              </w:pBdr>
              <w:spacing w:line="276" w:lineRule="auto"/>
              <w:rPr>
                <w:sz w:val="18"/>
                <w:szCs w:val="18"/>
              </w:rPr>
            </w:pPr>
            <w:r>
              <w:rPr>
                <w:sz w:val="18"/>
                <w:szCs w:val="18"/>
              </w:rPr>
              <w:t>TTX Simulation</w:t>
            </w:r>
          </w:p>
        </w:tc>
      </w:tr>
    </w:tbl>
    <w:p w14:paraId="3B31FA17" w14:textId="77777777" w:rsidR="00597290" w:rsidRDefault="00597290">
      <w:pPr>
        <w:rPr>
          <w:rFonts w:ascii="Times New Roman" w:eastAsia="Times New Roman" w:hAnsi="Times New Roman" w:cs="Times New Roman"/>
        </w:rPr>
      </w:pPr>
    </w:p>
    <w:p w14:paraId="07541069" w14:textId="77777777" w:rsidR="00597290" w:rsidRDefault="00597290">
      <w:pPr>
        <w:rPr>
          <w:rFonts w:ascii="Times New Roman" w:eastAsia="Times New Roman" w:hAnsi="Times New Roman" w:cs="Times New Roman"/>
        </w:rPr>
      </w:pPr>
    </w:p>
    <w:sectPr w:rsidR="00597290">
      <w:pgSz w:w="12240" w:h="15840"/>
      <w:pgMar w:top="1133" w:right="1133" w:bottom="1133" w:left="113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swald">
    <w:panose1 w:val="000005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3793"/>
    <w:multiLevelType w:val="multilevel"/>
    <w:tmpl w:val="92D6A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2E52C77"/>
    <w:multiLevelType w:val="multilevel"/>
    <w:tmpl w:val="122095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F972C14"/>
    <w:multiLevelType w:val="multilevel"/>
    <w:tmpl w:val="625E4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F7B653D"/>
    <w:multiLevelType w:val="multilevel"/>
    <w:tmpl w:val="65F6F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6519911">
    <w:abstractNumId w:val="1"/>
  </w:num>
  <w:num w:numId="2" w16cid:durableId="1428690377">
    <w:abstractNumId w:val="0"/>
  </w:num>
  <w:num w:numId="3" w16cid:durableId="462044644">
    <w:abstractNumId w:val="3"/>
  </w:num>
  <w:num w:numId="4" w16cid:durableId="1813909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290"/>
    <w:rsid w:val="003663BD"/>
    <w:rsid w:val="00597290"/>
  </w:rsids>
  <m:mathPr>
    <m:mathFont m:val="Cambria Math"/>
    <m:brkBin m:val="before"/>
    <m:brkBinSub m:val="--"/>
    <m:smallFrac m:val="0"/>
    <m:dispDef/>
    <m:lMargin m:val="0"/>
    <m:rMargin m:val="0"/>
    <m:defJc m:val="centerGroup"/>
    <m:wrapIndent m:val="1440"/>
    <m:intLim m:val="subSup"/>
    <m:naryLim m:val="undOvr"/>
  </m:mathPr>
  <w:themeFontLang w:val="en-TR" w:bidi="ar-SA"/>
  <w:clrSchemeMapping w:bg1="light1" w:t1="dark1" w:bg2="light2" w:t2="dark2" w:accent1="accent1" w:accent2="accent2" w:accent3="accent3" w:accent4="accent4" w:accent5="accent5" w:accent6="accent6" w:hyperlink="hyperlink" w:followedHyperlink="followedHyperlink"/>
  <w:decimalSymbol w:val="."/>
  <w:listSeparator w:val=","/>
  <w14:docId w14:val="30EA41C4"/>
  <w15:docId w15:val="{5F2BA3C5-D941-DA42-9B26-CF344B28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lang w:val="en-CA"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Oswald" w:eastAsia="Oswald" w:hAnsi="Oswald" w:cs="Oswald"/>
      <w:color w:val="2F5496"/>
      <w:sz w:val="32"/>
      <w:szCs w:val="32"/>
    </w:rPr>
  </w:style>
  <w:style w:type="paragraph" w:styleId="Heading2">
    <w:name w:val="heading 2"/>
    <w:basedOn w:val="Normal"/>
    <w:next w:val="Normal"/>
    <w:uiPriority w:val="9"/>
    <w:unhideWhenUsed/>
    <w:qFormat/>
    <w:pPr>
      <w:keepNext/>
      <w:keepLines/>
      <w:spacing w:before="40" w:after="0"/>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after="0"/>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rFonts w:ascii="Calibri" w:eastAsia="Calibri" w:hAnsi="Calibri" w:cs="Calibri"/>
      <w:sz w:val="56"/>
      <w:szCs w:val="56"/>
    </w:rPr>
  </w:style>
  <w:style w:type="paragraph" w:styleId="Subtitle">
    <w:name w:val="Subtitle"/>
    <w:basedOn w:val="Normal"/>
    <w:next w:val="Normal"/>
    <w:uiPriority w:val="11"/>
    <w:qFormat/>
    <w:rPr>
      <w:color w:val="5A5A5A"/>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11"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012409-81AF-4752-B6CD-EE23BAB657D0}"/>
</file>

<file path=customXml/itemProps2.xml><?xml version="1.0" encoding="utf-8"?>
<ds:datastoreItem xmlns:ds="http://schemas.openxmlformats.org/officeDocument/2006/customXml" ds:itemID="{3D094492-B5B2-4FE6-B1DF-D1435E3426AC}"/>
</file>

<file path=docProps/app.xml><?xml version="1.0" encoding="utf-8"?>
<Properties xmlns="http://schemas.openxmlformats.org/officeDocument/2006/extended-properties" xmlns:vt="http://schemas.openxmlformats.org/officeDocument/2006/docPropsVTypes">
  <Template>Normal.dotm</Template>
  <TotalTime>2</TotalTime>
  <Pages>5</Pages>
  <Words>1005</Words>
  <Characters>5734</Characters>
  <Application>Microsoft Office Word</Application>
  <DocSecurity>0</DocSecurity>
  <Lines>47</Lines>
  <Paragraphs>13</Paragraphs>
  <ScaleCrop>false</ScaleCrop>
  <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Waleed</cp:lastModifiedBy>
  <cp:revision>2</cp:revision>
  <dcterms:created xsi:type="dcterms:W3CDTF">2023-06-21T18:40:00Z</dcterms:created>
  <dcterms:modified xsi:type="dcterms:W3CDTF">2023-06-21T18:42:00Z</dcterms:modified>
</cp:coreProperties>
</file>