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DC266" w14:textId="53600171" w:rsidR="00D463FC" w:rsidRPr="00BE56A3" w:rsidRDefault="00D463FC" w:rsidP="00D463FC">
      <w:pPr>
        <w:jc w:val="center"/>
        <w:rPr>
          <w:rFonts w:ascii="Open Sans" w:hAnsi="Open Sans" w:cs="Open Sans"/>
          <w:sz w:val="56"/>
          <w:szCs w:val="56"/>
        </w:rPr>
      </w:pPr>
      <w:r w:rsidRPr="00BE56A3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</w:rPr>
        <w:t>Cash</w:t>
      </w:r>
      <w:r w:rsidR="000C2A10" w:rsidRPr="00BE56A3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</w:rPr>
        <w:t>-b</w:t>
      </w:r>
      <w:r w:rsidRPr="00BE56A3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</w:rPr>
        <w:t xml:space="preserve">ased </w:t>
      </w:r>
      <w:r w:rsidR="000C2A10" w:rsidRPr="00BE56A3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</w:rPr>
        <w:t>a</w:t>
      </w:r>
      <w:r w:rsidRPr="00BE56A3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</w:rPr>
        <w:t xml:space="preserve">ssistance </w:t>
      </w:r>
      <w:r w:rsidRPr="00BE56A3">
        <w:rPr>
          <w:rFonts w:ascii="Open Sans" w:eastAsia="Open Sans Regular" w:hAnsi="Open Sans" w:cs="Open Sans"/>
          <w:bCs/>
          <w:position w:val="1"/>
          <w:sz w:val="56"/>
          <w:szCs w:val="56"/>
        </w:rPr>
        <w:t>Activity 2</w:t>
      </w:r>
    </w:p>
    <w:p w14:paraId="24810C5B" w14:textId="557F2BE7" w:rsidR="00EB57E8" w:rsidRPr="00BE56A3" w:rsidRDefault="00D463FC" w:rsidP="00D463FC">
      <w:pPr>
        <w:jc w:val="center"/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</w:rPr>
      </w:pPr>
      <w:r w:rsidRPr="00BE56A3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</w:rPr>
        <w:t>Answer Sheet</w:t>
      </w:r>
    </w:p>
    <w:p w14:paraId="05C3D681" w14:textId="77777777" w:rsidR="00D463FC" w:rsidRPr="00BE56A3" w:rsidRDefault="00D463FC">
      <w:pPr>
        <w:rPr>
          <w:rFonts w:ascii="Open Sans" w:hAnsi="Open Sans" w:cs="Open Sans"/>
        </w:rPr>
      </w:pP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2340"/>
        <w:gridCol w:w="7020"/>
      </w:tblGrid>
      <w:tr w:rsidR="00D463FC" w:rsidRPr="00BE56A3" w14:paraId="187C219B" w14:textId="77777777" w:rsidTr="0059173F">
        <w:trPr>
          <w:tblHeader/>
        </w:trPr>
        <w:tc>
          <w:tcPr>
            <w:tcW w:w="2340" w:type="dxa"/>
            <w:shd w:val="clear" w:color="auto" w:fill="DBDBDB" w:themeFill="accent3" w:themeFillTint="66"/>
            <w:vAlign w:val="center"/>
          </w:tcPr>
          <w:p w14:paraId="4508C55D" w14:textId="4A0F67FE" w:rsidR="00D463FC" w:rsidRPr="00BE56A3" w:rsidRDefault="00D463FC" w:rsidP="009573E6">
            <w:pPr>
              <w:spacing w:before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BE56A3">
              <w:rPr>
                <w:rFonts w:ascii="Open Sans" w:hAnsi="Open Sans" w:cs="Open Sans"/>
                <w:b/>
                <w:sz w:val="22"/>
                <w:szCs w:val="22"/>
              </w:rPr>
              <w:t>Type of CBA</w:t>
            </w:r>
          </w:p>
        </w:tc>
        <w:tc>
          <w:tcPr>
            <w:tcW w:w="7020" w:type="dxa"/>
            <w:shd w:val="clear" w:color="auto" w:fill="DBDBDB" w:themeFill="accent3" w:themeFillTint="66"/>
          </w:tcPr>
          <w:p w14:paraId="7C886AF5" w14:textId="25243C98" w:rsidR="00D463FC" w:rsidRPr="00BE56A3" w:rsidRDefault="00D463FC" w:rsidP="009573E6">
            <w:pPr>
              <w:spacing w:before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BE56A3">
              <w:rPr>
                <w:rFonts w:ascii="Open Sans" w:hAnsi="Open Sans" w:cs="Open Sans"/>
                <w:b/>
                <w:sz w:val="22"/>
                <w:szCs w:val="22"/>
              </w:rPr>
              <w:t>Description/</w:t>
            </w:r>
            <w:r w:rsidR="000C2A10" w:rsidRPr="00BE56A3">
              <w:rPr>
                <w:rFonts w:ascii="Open Sans" w:hAnsi="Open Sans" w:cs="Open Sans"/>
                <w:b/>
                <w:sz w:val="22"/>
                <w:szCs w:val="22"/>
              </w:rPr>
              <w:t>e</w:t>
            </w:r>
            <w:r w:rsidRPr="00BE56A3">
              <w:rPr>
                <w:rFonts w:ascii="Open Sans" w:hAnsi="Open Sans" w:cs="Open Sans"/>
                <w:b/>
                <w:sz w:val="22"/>
                <w:szCs w:val="22"/>
              </w:rPr>
              <w:t>xample</w:t>
            </w:r>
          </w:p>
        </w:tc>
      </w:tr>
      <w:tr w:rsidR="00D463FC" w:rsidRPr="00BE56A3" w14:paraId="711411E9" w14:textId="77777777" w:rsidTr="00BE56A3">
        <w:trPr>
          <w:cantSplit/>
        </w:trPr>
        <w:tc>
          <w:tcPr>
            <w:tcW w:w="2340" w:type="dxa"/>
            <w:vAlign w:val="center"/>
          </w:tcPr>
          <w:p w14:paraId="6D2200A9" w14:textId="7777777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Multipurpose </w:t>
            </w:r>
          </w:p>
        </w:tc>
        <w:tc>
          <w:tcPr>
            <w:tcW w:w="7020" w:type="dxa"/>
          </w:tcPr>
          <w:p w14:paraId="4C804CEE" w14:textId="7A356650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People affected by 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>crisis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 xml:space="preserve"> receive a </w:t>
            </w:r>
            <w:r w:rsidR="00D463FC" w:rsidRPr="00BE56A3">
              <w:rPr>
                <w:rFonts w:ascii="Open Sans" w:hAnsi="Open Sans" w:cs="Open Sans"/>
                <w:bCs/>
                <w:sz w:val="28"/>
                <w:szCs w:val="28"/>
              </w:rPr>
              <w:t>multipurpose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 xml:space="preserve"> cash grant, e.g. as a subsistence allowance, allowing them to meet their own needs through existing markets</w:t>
            </w:r>
            <w:r w:rsidR="008F0DBF" w:rsidRPr="00BE56A3">
              <w:rPr>
                <w:rFonts w:ascii="Open Sans" w:hAnsi="Open Sans" w:cs="Open Sans"/>
                <w:sz w:val="28"/>
                <w:szCs w:val="28"/>
              </w:rPr>
              <w:t xml:space="preserve"> in whatever manner they wish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>.</w:t>
            </w:r>
          </w:p>
        </w:tc>
      </w:tr>
      <w:tr w:rsidR="00D463FC" w:rsidRPr="00BE56A3" w14:paraId="070E9DEB" w14:textId="77777777" w:rsidTr="00BE56A3">
        <w:trPr>
          <w:cantSplit/>
        </w:trPr>
        <w:tc>
          <w:tcPr>
            <w:tcW w:w="2340" w:type="dxa"/>
            <w:vAlign w:val="center"/>
          </w:tcPr>
          <w:p w14:paraId="2A00147A" w14:textId="7777777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>Shelter</w:t>
            </w:r>
          </w:p>
        </w:tc>
        <w:tc>
          <w:tcPr>
            <w:tcW w:w="7020" w:type="dxa"/>
          </w:tcPr>
          <w:p w14:paraId="601E5779" w14:textId="6DA2F5C2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People affected by 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>crisis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 xml:space="preserve"> receive cash/vouchers to build or renovate a shelter, or to pay their rent.</w:t>
            </w:r>
          </w:p>
        </w:tc>
      </w:tr>
      <w:tr w:rsidR="00D463FC" w:rsidRPr="00BE56A3" w14:paraId="72BB50D8" w14:textId="77777777" w:rsidTr="00BE56A3">
        <w:trPr>
          <w:cantSplit/>
        </w:trPr>
        <w:tc>
          <w:tcPr>
            <w:tcW w:w="2340" w:type="dxa"/>
            <w:vAlign w:val="center"/>
          </w:tcPr>
          <w:p w14:paraId="56CCF57F" w14:textId="1FBB067E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Food </w:t>
            </w:r>
            <w:r w:rsidR="000C2A10" w:rsidRPr="00BE56A3">
              <w:rPr>
                <w:rFonts w:ascii="Open Sans" w:hAnsi="Open Sans" w:cs="Open Sans"/>
                <w:sz w:val="28"/>
                <w:szCs w:val="28"/>
              </w:rPr>
              <w:t>s</w:t>
            </w:r>
            <w:r w:rsidRPr="00BE56A3">
              <w:rPr>
                <w:rFonts w:ascii="Open Sans" w:hAnsi="Open Sans" w:cs="Open Sans"/>
                <w:sz w:val="28"/>
                <w:szCs w:val="28"/>
              </w:rPr>
              <w:t>ecurity</w:t>
            </w:r>
          </w:p>
        </w:tc>
        <w:tc>
          <w:tcPr>
            <w:tcW w:w="7020" w:type="dxa"/>
          </w:tcPr>
          <w:p w14:paraId="0FF2DAA9" w14:textId="64F4E2B8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People affected by 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>crisis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 xml:space="preserve"> receive cash/vouchers to buy </w:t>
            </w:r>
            <w:r w:rsidR="00D463FC" w:rsidRPr="00BE56A3">
              <w:rPr>
                <w:rFonts w:ascii="Open Sans" w:hAnsi="Open Sans" w:cs="Open Sans"/>
                <w:bCs/>
                <w:sz w:val="28"/>
                <w:szCs w:val="28"/>
              </w:rPr>
              <w:t>food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 xml:space="preserve">, </w:t>
            </w:r>
            <w:r w:rsidR="008F0DBF" w:rsidRPr="00BE56A3">
              <w:rPr>
                <w:rFonts w:ascii="Open Sans" w:hAnsi="Open Sans" w:cs="Open Sans"/>
                <w:sz w:val="28"/>
                <w:szCs w:val="28"/>
              </w:rPr>
              <w:t xml:space="preserve">seeds for planting, 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 xml:space="preserve">or meet </w:t>
            </w:r>
            <w:r w:rsidR="004C05D0" w:rsidRPr="00BE56A3">
              <w:rPr>
                <w:rFonts w:ascii="Open Sans" w:hAnsi="Open Sans" w:cs="Open Sans"/>
                <w:sz w:val="28"/>
                <w:szCs w:val="28"/>
              </w:rPr>
              <w:t xml:space="preserve">their 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>nutrition needs.</w:t>
            </w:r>
          </w:p>
        </w:tc>
      </w:tr>
      <w:tr w:rsidR="00D463FC" w:rsidRPr="00BE56A3" w14:paraId="4B7A9095" w14:textId="77777777" w:rsidTr="00BE56A3">
        <w:trPr>
          <w:cantSplit/>
        </w:trPr>
        <w:tc>
          <w:tcPr>
            <w:tcW w:w="2340" w:type="dxa"/>
            <w:vAlign w:val="center"/>
          </w:tcPr>
          <w:p w14:paraId="17196B4D" w14:textId="7777777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>Livelihoods</w:t>
            </w:r>
          </w:p>
        </w:tc>
        <w:tc>
          <w:tcPr>
            <w:tcW w:w="7020" w:type="dxa"/>
          </w:tcPr>
          <w:p w14:paraId="45363420" w14:textId="21AA899B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People affected by 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>crisis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 xml:space="preserve"> receive business start-up grants, or cash to pay for work permits.</w:t>
            </w:r>
          </w:p>
        </w:tc>
      </w:tr>
      <w:tr w:rsidR="00D463FC" w:rsidRPr="00BE56A3" w14:paraId="255DA630" w14:textId="77777777" w:rsidTr="00BE56A3">
        <w:trPr>
          <w:cantSplit/>
        </w:trPr>
        <w:tc>
          <w:tcPr>
            <w:tcW w:w="2340" w:type="dxa"/>
            <w:vAlign w:val="center"/>
          </w:tcPr>
          <w:p w14:paraId="38097F9E" w14:textId="7777777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>Energy</w:t>
            </w:r>
          </w:p>
        </w:tc>
        <w:tc>
          <w:tcPr>
            <w:tcW w:w="7020" w:type="dxa"/>
          </w:tcPr>
          <w:p w14:paraId="5F71A1EB" w14:textId="5E72A103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People affected by 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>crisis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 xml:space="preserve"> receive cash/vouchers to </w:t>
            </w:r>
            <w:r w:rsidR="000C2A10" w:rsidRPr="00BE56A3">
              <w:rPr>
                <w:rFonts w:ascii="Open Sans" w:hAnsi="Open Sans" w:cs="Open Sans"/>
                <w:sz w:val="28"/>
                <w:szCs w:val="28"/>
              </w:rPr>
              <w:t xml:space="preserve">buy 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>energy (fuel, lighting, electricity) or energy items (such as stoves and lanterns)</w:t>
            </w:r>
            <w:r w:rsidR="008F0DBF" w:rsidRPr="00BE56A3">
              <w:rPr>
                <w:rFonts w:ascii="Open Sans" w:hAnsi="Open Sans" w:cs="Open Sans"/>
                <w:sz w:val="28"/>
                <w:szCs w:val="28"/>
              </w:rPr>
              <w:t xml:space="preserve"> for heating, cooking</w:t>
            </w:r>
            <w:r w:rsidR="000C2A10" w:rsidRPr="00BE56A3">
              <w:rPr>
                <w:rFonts w:ascii="Open Sans" w:hAnsi="Open Sans" w:cs="Open Sans"/>
                <w:sz w:val="28"/>
                <w:szCs w:val="28"/>
              </w:rPr>
              <w:t>,</w:t>
            </w:r>
            <w:r w:rsidR="008F0DBF" w:rsidRPr="00BE56A3">
              <w:rPr>
                <w:rFonts w:ascii="Open Sans" w:hAnsi="Open Sans" w:cs="Open Sans"/>
                <w:sz w:val="28"/>
                <w:szCs w:val="28"/>
              </w:rPr>
              <w:t xml:space="preserve"> or lighting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>.</w:t>
            </w:r>
          </w:p>
        </w:tc>
      </w:tr>
      <w:tr w:rsidR="00D463FC" w:rsidRPr="00BE56A3" w14:paraId="0601738B" w14:textId="77777777" w:rsidTr="00BE56A3">
        <w:trPr>
          <w:cantSplit/>
        </w:trPr>
        <w:tc>
          <w:tcPr>
            <w:tcW w:w="2340" w:type="dxa"/>
            <w:vAlign w:val="center"/>
          </w:tcPr>
          <w:p w14:paraId="14BD55E8" w14:textId="7777777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>Health</w:t>
            </w:r>
          </w:p>
        </w:tc>
        <w:tc>
          <w:tcPr>
            <w:tcW w:w="7020" w:type="dxa"/>
          </w:tcPr>
          <w:p w14:paraId="3E957049" w14:textId="6E97CCEC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People affected by 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>crisis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 xml:space="preserve"> receive cash/vouchers to enable them to pay for predetermined medical expenses</w:t>
            </w:r>
            <w:r w:rsidR="008F0DBF" w:rsidRPr="00BE56A3">
              <w:rPr>
                <w:rFonts w:ascii="Open Sans" w:hAnsi="Open Sans" w:cs="Open Sans"/>
                <w:sz w:val="28"/>
                <w:szCs w:val="28"/>
              </w:rPr>
              <w:t xml:space="preserve"> such as medications or transport to and from a hospital or clinic facility.</w:t>
            </w:r>
          </w:p>
        </w:tc>
      </w:tr>
      <w:tr w:rsidR="00D463FC" w:rsidRPr="00BE56A3" w14:paraId="197FFCF3" w14:textId="77777777" w:rsidTr="00BE56A3">
        <w:trPr>
          <w:cantSplit/>
        </w:trPr>
        <w:tc>
          <w:tcPr>
            <w:tcW w:w="2340" w:type="dxa"/>
            <w:vAlign w:val="center"/>
          </w:tcPr>
          <w:p w14:paraId="00BA58DE" w14:textId="7777777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>Education</w:t>
            </w:r>
          </w:p>
        </w:tc>
        <w:tc>
          <w:tcPr>
            <w:tcW w:w="7020" w:type="dxa"/>
          </w:tcPr>
          <w:p w14:paraId="07EFE710" w14:textId="509D7BF6" w:rsidR="00D5234E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Students or caretakers receive cash/vouchers to pay for school fees, school supplies or housing at university; caretakers receive cash/vouchers on the condition that they </w:t>
            </w:r>
            <w:r w:rsidR="00B5606B" w:rsidRPr="00BE56A3">
              <w:rPr>
                <w:rFonts w:ascii="Open Sans" w:hAnsi="Open Sans" w:cs="Open Sans"/>
                <w:sz w:val="28"/>
                <w:szCs w:val="28"/>
              </w:rPr>
              <w:t>enrol</w:t>
            </w: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 children in school.</w:t>
            </w:r>
          </w:p>
        </w:tc>
      </w:tr>
      <w:tr w:rsidR="00D463FC" w:rsidRPr="00BE56A3" w14:paraId="3606EB6E" w14:textId="77777777" w:rsidTr="00BE56A3">
        <w:trPr>
          <w:cantSplit/>
        </w:trPr>
        <w:tc>
          <w:tcPr>
            <w:tcW w:w="2340" w:type="dxa"/>
            <w:vAlign w:val="center"/>
          </w:tcPr>
          <w:p w14:paraId="5E17B4BB" w14:textId="66ED668B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lastRenderedPageBreak/>
              <w:t xml:space="preserve">Voluntary </w:t>
            </w:r>
            <w:r w:rsidR="000C2A10" w:rsidRPr="00BE56A3">
              <w:rPr>
                <w:rFonts w:ascii="Open Sans" w:hAnsi="Open Sans" w:cs="Open Sans"/>
                <w:sz w:val="28"/>
                <w:szCs w:val="28"/>
              </w:rPr>
              <w:t>r</w:t>
            </w:r>
            <w:r w:rsidRPr="00BE56A3">
              <w:rPr>
                <w:rFonts w:ascii="Open Sans" w:hAnsi="Open Sans" w:cs="Open Sans"/>
                <w:sz w:val="28"/>
                <w:szCs w:val="28"/>
              </w:rPr>
              <w:t>epatriation (</w:t>
            </w:r>
            <w:r w:rsidR="000C2A10" w:rsidRPr="00BE56A3">
              <w:rPr>
                <w:rFonts w:ascii="Open Sans" w:hAnsi="Open Sans" w:cs="Open Sans"/>
                <w:sz w:val="28"/>
                <w:szCs w:val="28"/>
              </w:rPr>
              <w:t>d</w:t>
            </w: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urable </w:t>
            </w:r>
            <w:r w:rsidR="000C2A10" w:rsidRPr="00BE56A3">
              <w:rPr>
                <w:rFonts w:ascii="Open Sans" w:hAnsi="Open Sans" w:cs="Open Sans"/>
                <w:sz w:val="28"/>
                <w:szCs w:val="28"/>
              </w:rPr>
              <w:t>s</w:t>
            </w:r>
            <w:r w:rsidRPr="00BE56A3">
              <w:rPr>
                <w:rFonts w:ascii="Open Sans" w:hAnsi="Open Sans" w:cs="Open Sans"/>
                <w:sz w:val="28"/>
                <w:szCs w:val="28"/>
              </w:rPr>
              <w:t>olutions)</w:t>
            </w:r>
          </w:p>
        </w:tc>
        <w:tc>
          <w:tcPr>
            <w:tcW w:w="7020" w:type="dxa"/>
          </w:tcPr>
          <w:p w14:paraId="4E7D3FD7" w14:textId="25DCD568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People affected by 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>crisis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 xml:space="preserve"> receive cash/vouchers to pay for transportation, documentation, administrative fees, or other needs on return to their country of origin.</w:t>
            </w:r>
          </w:p>
        </w:tc>
      </w:tr>
      <w:tr w:rsidR="00D463FC" w:rsidRPr="00BE56A3" w14:paraId="6C474A93" w14:textId="77777777" w:rsidTr="00BE56A3">
        <w:trPr>
          <w:cantSplit/>
        </w:trPr>
        <w:tc>
          <w:tcPr>
            <w:tcW w:w="2340" w:type="dxa"/>
            <w:vAlign w:val="center"/>
          </w:tcPr>
          <w:p w14:paraId="4282AA03" w14:textId="7777777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>WASH</w:t>
            </w:r>
          </w:p>
        </w:tc>
        <w:tc>
          <w:tcPr>
            <w:tcW w:w="7020" w:type="dxa"/>
          </w:tcPr>
          <w:p w14:paraId="29C100C5" w14:textId="584CFB53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People affected by 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>crisis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 xml:space="preserve"> receive cash/vouchers to buy hygiene items</w:t>
            </w:r>
            <w:r w:rsidR="00D5234E" w:rsidRPr="00BE56A3">
              <w:rPr>
                <w:rFonts w:ascii="Open Sans" w:hAnsi="Open Sans" w:cs="Open Sans"/>
                <w:sz w:val="28"/>
                <w:szCs w:val="28"/>
              </w:rPr>
              <w:t xml:space="preserve"> such as soap, chlorine</w:t>
            </w:r>
            <w:r w:rsidR="000C2A10" w:rsidRPr="00BE56A3">
              <w:rPr>
                <w:rFonts w:ascii="Open Sans" w:hAnsi="Open Sans" w:cs="Open Sans"/>
                <w:sz w:val="28"/>
                <w:szCs w:val="28"/>
              </w:rPr>
              <w:t>,</w:t>
            </w:r>
            <w:r w:rsidR="00D5234E" w:rsidRPr="00BE56A3">
              <w:rPr>
                <w:rFonts w:ascii="Open Sans" w:hAnsi="Open Sans" w:cs="Open Sans"/>
                <w:sz w:val="28"/>
                <w:szCs w:val="28"/>
              </w:rPr>
              <w:t xml:space="preserve"> or sanitary napkins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 xml:space="preserve"> or meet </w:t>
            </w:r>
            <w:r w:rsidR="004C05D0" w:rsidRPr="00BE56A3">
              <w:rPr>
                <w:rFonts w:ascii="Open Sans" w:hAnsi="Open Sans" w:cs="Open Sans"/>
                <w:sz w:val="28"/>
                <w:szCs w:val="28"/>
              </w:rPr>
              <w:t xml:space="preserve">their 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>needs.</w:t>
            </w:r>
          </w:p>
        </w:tc>
      </w:tr>
      <w:tr w:rsidR="00D463FC" w:rsidRPr="00BE56A3" w14:paraId="23F44044" w14:textId="77777777" w:rsidTr="00BE56A3">
        <w:trPr>
          <w:cantSplit/>
        </w:trPr>
        <w:tc>
          <w:tcPr>
            <w:tcW w:w="2340" w:type="dxa"/>
            <w:vAlign w:val="center"/>
          </w:tcPr>
          <w:p w14:paraId="0604CE69" w14:textId="7777777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  <w:highlight w:val="yellow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>Protection</w:t>
            </w:r>
          </w:p>
        </w:tc>
        <w:tc>
          <w:tcPr>
            <w:tcW w:w="7020" w:type="dxa"/>
          </w:tcPr>
          <w:p w14:paraId="016F3FEE" w14:textId="489B1A64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  <w:highlight w:val="yellow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People affected by 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>crisis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 xml:space="preserve"> receive cash/vouchers to pay for protection</w:t>
            </w:r>
            <w:r w:rsidR="000C2A10" w:rsidRPr="00BE56A3">
              <w:rPr>
                <w:rFonts w:ascii="Open Sans" w:hAnsi="Open Sans" w:cs="Open Sans"/>
                <w:sz w:val="28"/>
                <w:szCs w:val="28"/>
              </w:rPr>
              <w:t>-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>related needs</w:t>
            </w:r>
            <w:r w:rsidR="00D5234E" w:rsidRPr="00BE56A3">
              <w:rPr>
                <w:rFonts w:ascii="Open Sans" w:hAnsi="Open Sans" w:cs="Open Sans"/>
                <w:sz w:val="28"/>
                <w:szCs w:val="28"/>
              </w:rPr>
              <w:t>, such as safe transportation of their children to and from schools in an insecure environment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>.</w:t>
            </w:r>
          </w:p>
        </w:tc>
      </w:tr>
      <w:tr w:rsidR="00D463FC" w:rsidRPr="00BE56A3" w14:paraId="06886AA7" w14:textId="77777777" w:rsidTr="00BE56A3">
        <w:trPr>
          <w:cantSplit/>
        </w:trPr>
        <w:tc>
          <w:tcPr>
            <w:tcW w:w="2340" w:type="dxa"/>
            <w:vAlign w:val="center"/>
          </w:tcPr>
          <w:p w14:paraId="6C522A06" w14:textId="0150489F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Legal </w:t>
            </w:r>
            <w:r w:rsidR="000C2A10" w:rsidRPr="00BE56A3">
              <w:rPr>
                <w:rFonts w:ascii="Open Sans" w:hAnsi="Open Sans" w:cs="Open Sans"/>
                <w:sz w:val="28"/>
                <w:szCs w:val="28"/>
              </w:rPr>
              <w:t>a</w:t>
            </w:r>
            <w:r w:rsidRPr="00BE56A3">
              <w:rPr>
                <w:rFonts w:ascii="Open Sans" w:hAnsi="Open Sans" w:cs="Open Sans"/>
                <w:sz w:val="28"/>
                <w:szCs w:val="28"/>
              </w:rPr>
              <w:t>ssistance</w:t>
            </w:r>
          </w:p>
        </w:tc>
        <w:tc>
          <w:tcPr>
            <w:tcW w:w="7020" w:type="dxa"/>
          </w:tcPr>
          <w:p w14:paraId="27230BCC" w14:textId="7FFEAA83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People affected by 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>crisis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 xml:space="preserve"> receive cash/vouchers to pay for legal services themselves.</w:t>
            </w:r>
          </w:p>
        </w:tc>
      </w:tr>
      <w:tr w:rsidR="00D463FC" w:rsidRPr="00BE56A3" w14:paraId="077CE98A" w14:textId="77777777" w:rsidTr="00BE56A3">
        <w:trPr>
          <w:cantSplit/>
        </w:trPr>
        <w:tc>
          <w:tcPr>
            <w:tcW w:w="2340" w:type="dxa"/>
            <w:vAlign w:val="center"/>
          </w:tcPr>
          <w:p w14:paraId="3A703E78" w14:textId="4C4B1EF9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>Cash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 xml:space="preserve"> </w:t>
            </w:r>
            <w:r w:rsidRPr="00BE56A3">
              <w:rPr>
                <w:rFonts w:ascii="Open Sans" w:hAnsi="Open Sans" w:cs="Open Sans"/>
                <w:sz w:val="28"/>
                <w:szCs w:val="28"/>
              </w:rPr>
              <w:t>for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 xml:space="preserve"> </w:t>
            </w:r>
            <w:r w:rsidR="000C2A10" w:rsidRPr="00BE56A3">
              <w:rPr>
                <w:rFonts w:ascii="Open Sans" w:hAnsi="Open Sans" w:cs="Open Sans"/>
                <w:sz w:val="28"/>
                <w:szCs w:val="28"/>
              </w:rPr>
              <w:t>w</w:t>
            </w:r>
            <w:r w:rsidRPr="00BE56A3">
              <w:rPr>
                <w:rFonts w:ascii="Open Sans" w:hAnsi="Open Sans" w:cs="Open Sans"/>
                <w:sz w:val="28"/>
                <w:szCs w:val="28"/>
              </w:rPr>
              <w:t>ork</w:t>
            </w:r>
          </w:p>
        </w:tc>
        <w:tc>
          <w:tcPr>
            <w:tcW w:w="7020" w:type="dxa"/>
          </w:tcPr>
          <w:p w14:paraId="7F19451A" w14:textId="2B5514CD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People affected by 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>crisis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 xml:space="preserve"> receive cash/vouchers after doing temporary, unskilled work for community projects </w:t>
            </w:r>
            <w:r w:rsidR="00EF1F12" w:rsidRPr="00BE56A3">
              <w:rPr>
                <w:rFonts w:ascii="Open Sans" w:hAnsi="Open Sans" w:cs="Open Sans"/>
                <w:sz w:val="28"/>
                <w:szCs w:val="28"/>
              </w:rPr>
              <w:t>(such as building roads, digging latrines or irrigation canals, and assisting in the reconstruction of homes and public places</w:t>
            </w:r>
            <w:r w:rsidR="000C2A10" w:rsidRPr="00BE56A3">
              <w:rPr>
                <w:rFonts w:ascii="Open Sans" w:hAnsi="Open Sans" w:cs="Open Sans"/>
                <w:sz w:val="28"/>
                <w:szCs w:val="28"/>
              </w:rPr>
              <w:t xml:space="preserve"> affected by the 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>crisis</w:t>
            </w:r>
            <w:r w:rsidR="00EF1F12" w:rsidRPr="00BE56A3">
              <w:rPr>
                <w:rFonts w:ascii="Open Sans" w:hAnsi="Open Sans" w:cs="Open Sans"/>
                <w:sz w:val="28"/>
                <w:szCs w:val="28"/>
              </w:rPr>
              <w:t>).</w:t>
            </w:r>
          </w:p>
        </w:tc>
      </w:tr>
      <w:tr w:rsidR="00D463FC" w:rsidRPr="00BE56A3" w14:paraId="6DF6E95B" w14:textId="77777777" w:rsidTr="00BE56A3">
        <w:trPr>
          <w:cantSplit/>
        </w:trPr>
        <w:tc>
          <w:tcPr>
            <w:tcW w:w="2340" w:type="dxa"/>
            <w:vAlign w:val="center"/>
          </w:tcPr>
          <w:p w14:paraId="5E18069B" w14:textId="0388106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>Cash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 xml:space="preserve"> </w:t>
            </w:r>
            <w:r w:rsidRPr="00BE56A3">
              <w:rPr>
                <w:rFonts w:ascii="Open Sans" w:hAnsi="Open Sans" w:cs="Open Sans"/>
                <w:sz w:val="28"/>
                <w:szCs w:val="28"/>
              </w:rPr>
              <w:t>for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 xml:space="preserve"> </w:t>
            </w:r>
            <w:r w:rsidR="000C2A10" w:rsidRPr="00BE56A3">
              <w:rPr>
                <w:rFonts w:ascii="Open Sans" w:hAnsi="Open Sans" w:cs="Open Sans"/>
                <w:sz w:val="28"/>
                <w:szCs w:val="28"/>
              </w:rPr>
              <w:t>t</w:t>
            </w:r>
            <w:r w:rsidRPr="00BE56A3">
              <w:rPr>
                <w:rFonts w:ascii="Open Sans" w:hAnsi="Open Sans" w:cs="Open Sans"/>
                <w:sz w:val="28"/>
                <w:szCs w:val="28"/>
              </w:rPr>
              <w:t>raining</w:t>
            </w:r>
          </w:p>
        </w:tc>
        <w:tc>
          <w:tcPr>
            <w:tcW w:w="7020" w:type="dxa"/>
          </w:tcPr>
          <w:p w14:paraId="5AC26058" w14:textId="15E9DEBE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 w:rsidRPr="00BE56A3">
              <w:rPr>
                <w:rFonts w:ascii="Open Sans" w:hAnsi="Open Sans" w:cs="Open Sans"/>
                <w:sz w:val="28"/>
                <w:szCs w:val="28"/>
              </w:rPr>
              <w:t xml:space="preserve">People affected by </w:t>
            </w:r>
            <w:r w:rsidR="00E1685A" w:rsidRPr="00BE56A3">
              <w:rPr>
                <w:rFonts w:ascii="Open Sans" w:hAnsi="Open Sans" w:cs="Open Sans"/>
                <w:sz w:val="28"/>
                <w:szCs w:val="28"/>
              </w:rPr>
              <w:t>crisis</w:t>
            </w:r>
            <w:r w:rsidR="00D463FC" w:rsidRPr="00BE56A3">
              <w:rPr>
                <w:rFonts w:ascii="Open Sans" w:hAnsi="Open Sans" w:cs="Open Sans"/>
                <w:sz w:val="28"/>
                <w:szCs w:val="28"/>
              </w:rPr>
              <w:t xml:space="preserve"> receive cash/vouchers after attending a training or workshop that contributes to achieving a programme objective</w:t>
            </w:r>
            <w:r w:rsidR="00EF1F12" w:rsidRPr="00BE56A3">
              <w:rPr>
                <w:rFonts w:ascii="Open Sans" w:hAnsi="Open Sans" w:cs="Open Sans"/>
                <w:sz w:val="28"/>
                <w:szCs w:val="28"/>
              </w:rPr>
              <w:t xml:space="preserve"> such as a </w:t>
            </w:r>
            <w:proofErr w:type="gramStart"/>
            <w:r w:rsidR="00B5606B" w:rsidRPr="00BE56A3">
              <w:rPr>
                <w:rFonts w:ascii="Open Sans" w:hAnsi="Open Sans" w:cs="Open Sans"/>
                <w:sz w:val="28"/>
                <w:szCs w:val="28"/>
              </w:rPr>
              <w:t>skill</w:t>
            </w:r>
            <w:r w:rsidR="004C05D0" w:rsidRPr="00BE56A3">
              <w:rPr>
                <w:rFonts w:ascii="Open Sans" w:hAnsi="Open Sans" w:cs="Open Sans"/>
                <w:sz w:val="28"/>
                <w:szCs w:val="28"/>
              </w:rPr>
              <w:t>s</w:t>
            </w:r>
            <w:proofErr w:type="gramEnd"/>
            <w:r w:rsidR="00EF1F12" w:rsidRPr="00BE56A3">
              <w:rPr>
                <w:rFonts w:ascii="Open Sans" w:hAnsi="Open Sans" w:cs="Open Sans"/>
                <w:sz w:val="28"/>
                <w:szCs w:val="28"/>
              </w:rPr>
              <w:t xml:space="preserve"> transfer workshop for safer building practices or other vocational skills.</w:t>
            </w:r>
          </w:p>
        </w:tc>
      </w:tr>
    </w:tbl>
    <w:p w14:paraId="34633CA6" w14:textId="77777777" w:rsidR="00D463FC" w:rsidRPr="00BE56A3" w:rsidRDefault="00D463FC">
      <w:pPr>
        <w:rPr>
          <w:rFonts w:ascii="Open Sans" w:hAnsi="Open Sans" w:cs="Open Sans"/>
        </w:rPr>
      </w:pPr>
      <w:bookmarkStart w:id="0" w:name="_GoBack"/>
      <w:bookmarkEnd w:id="0"/>
    </w:p>
    <w:sectPr w:rsidR="00D463FC" w:rsidRPr="00BE56A3" w:rsidSect="0059173F">
      <w:pgSz w:w="11906" w:h="16838" w:code="9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3FC"/>
    <w:rsid w:val="000A7D24"/>
    <w:rsid w:val="000C2A10"/>
    <w:rsid w:val="004C05D0"/>
    <w:rsid w:val="005240AD"/>
    <w:rsid w:val="0059173F"/>
    <w:rsid w:val="00883A5F"/>
    <w:rsid w:val="008F0DBF"/>
    <w:rsid w:val="009E1EBE"/>
    <w:rsid w:val="00A725D3"/>
    <w:rsid w:val="00B204E1"/>
    <w:rsid w:val="00B5606B"/>
    <w:rsid w:val="00BE56A3"/>
    <w:rsid w:val="00D463FC"/>
    <w:rsid w:val="00D5234E"/>
    <w:rsid w:val="00D664A1"/>
    <w:rsid w:val="00D86D2F"/>
    <w:rsid w:val="00DA6A7D"/>
    <w:rsid w:val="00E1685A"/>
    <w:rsid w:val="00EB57E8"/>
    <w:rsid w:val="00EF1F12"/>
    <w:rsid w:val="00F80287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6F40F"/>
  <w15:chartTrackingRefBased/>
  <w15:docId w15:val="{483BA91A-1BB6-4E65-A708-73D61F0C0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3FC"/>
    <w:pPr>
      <w:spacing w:after="12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63FC"/>
    <w:pPr>
      <w:spacing w:after="12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2A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2A1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2A10"/>
    <w:rPr>
      <w:rFonts w:ascii="Arial" w:eastAsia="Times New Roman" w:hAnsi="Arial" w:cs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2A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2A10"/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A10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A10"/>
    <w:rPr>
      <w:rFonts w:ascii="Times New Roman" w:eastAsia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Solomon</dc:creator>
  <cp:keywords/>
  <dc:description/>
  <cp:lastModifiedBy>Tristan Hale</cp:lastModifiedBy>
  <cp:revision>6</cp:revision>
  <dcterms:created xsi:type="dcterms:W3CDTF">2019-04-23T08:44:00Z</dcterms:created>
  <dcterms:modified xsi:type="dcterms:W3CDTF">2019-04-25T13:58:00Z</dcterms:modified>
</cp:coreProperties>
</file>