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0C95C" w14:textId="48CBA12D" w:rsidR="00B31B77" w:rsidRPr="00700074" w:rsidRDefault="00B31B77" w:rsidP="00B31B77">
      <w:pPr>
        <w:pStyle w:val="Heading1"/>
        <w:spacing w:before="80" w:after="80"/>
        <w:rPr>
          <w:rFonts w:ascii="Open Sans" w:hAnsi="Open Sans" w:cs="Open Sans"/>
          <w:color w:val="00A885"/>
          <w:sz w:val="28"/>
          <w:szCs w:val="28"/>
        </w:rPr>
      </w:pPr>
      <w:r>
        <w:rPr>
          <w:rFonts w:ascii="Open Sans" w:hAnsi="Open Sans"/>
          <w:b/>
          <w:color w:val="00A885"/>
          <w:sz w:val="28"/>
        </w:rPr>
        <w:t xml:space="preserve">Guía para Formadores sobre la Actividad de </w:t>
      </w:r>
      <w:r w:rsidR="006C76D3">
        <w:rPr>
          <w:rFonts w:ascii="Open Sans" w:hAnsi="Open Sans"/>
          <w:b/>
          <w:color w:val="00A885"/>
          <w:sz w:val="28"/>
        </w:rPr>
        <w:t>a</w:t>
      </w:r>
      <w:r>
        <w:rPr>
          <w:rFonts w:ascii="Open Sans" w:hAnsi="Open Sans"/>
          <w:b/>
          <w:color w:val="00A885"/>
          <w:sz w:val="28"/>
        </w:rPr>
        <w:t xml:space="preserve">prendizaje </w:t>
      </w:r>
      <w:r w:rsidR="00BA6F33">
        <w:rPr>
          <w:rFonts w:ascii="Open Sans" w:hAnsi="Open Sans"/>
          <w:b/>
          <w:color w:val="00A885"/>
          <w:sz w:val="28"/>
        </w:rPr>
        <w:t xml:space="preserve">de </w:t>
      </w:r>
      <w:r w:rsidRPr="00150F1C">
        <w:rPr>
          <w:rFonts w:ascii="Open Sans" w:hAnsi="Open Sans"/>
          <w:b/>
          <w:i/>
          <w:iCs/>
          <w:color w:val="00A885"/>
          <w:sz w:val="28"/>
        </w:rPr>
        <w:t xml:space="preserve">Normas vs. Objetivos </w:t>
      </w:r>
    </w:p>
    <w:p w14:paraId="35E9B466" w14:textId="2CEA9D49" w:rsidR="00B31B77" w:rsidRDefault="00E32F09" w:rsidP="00B31B77">
      <w:pPr>
        <w:rPr>
          <w:rFonts w:ascii="Open Sans" w:hAnsi="Open Sans" w:cs="Open Sans"/>
          <w:color w:val="00A885"/>
          <w:sz w:val="23"/>
          <w:szCs w:val="23"/>
        </w:rPr>
      </w:pPr>
      <w:r>
        <w:rPr>
          <w:noProof/>
        </w:rPr>
        <w:drawing>
          <wp:inline distT="0" distB="0" distL="0" distR="0" wp14:anchorId="3FA0C952" wp14:editId="08FA255E">
            <wp:extent cx="5733415" cy="1080135"/>
            <wp:effectExtent l="0" t="0" r="635" b="5715"/>
            <wp:docPr id="10" name="Picture 10" descr="A picture containing text,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text, screenshot&#10;&#10;Description automatically generated"/>
                    <pic:cNvPicPr/>
                  </pic:nvPicPr>
                  <pic:blipFill>
                    <a:blip r:embed="rId11"/>
                    <a:stretch>
                      <a:fillRect/>
                    </a:stretch>
                  </pic:blipFill>
                  <pic:spPr>
                    <a:xfrm>
                      <a:off x="0" y="0"/>
                      <a:ext cx="5733415" cy="1080135"/>
                    </a:xfrm>
                    <a:prstGeom prst="rect">
                      <a:avLst/>
                    </a:prstGeom>
                  </pic:spPr>
                </pic:pic>
              </a:graphicData>
            </a:graphic>
          </wp:inline>
        </w:drawing>
      </w:r>
    </w:p>
    <w:p w14:paraId="62C267E3" w14:textId="77777777" w:rsidR="000F03F9" w:rsidRPr="004E35C4" w:rsidRDefault="000F03F9" w:rsidP="00B31B77">
      <w:pPr>
        <w:rPr>
          <w:rFonts w:ascii="Open Sans" w:hAnsi="Open Sans" w:cs="Open Sans"/>
          <w:color w:val="00A885"/>
          <w:sz w:val="23"/>
          <w:szCs w:val="23"/>
          <w:lang w:val="en-GB"/>
        </w:rPr>
      </w:pPr>
    </w:p>
    <w:p w14:paraId="61BA8F0F" w14:textId="77777777" w:rsidR="00B31B77" w:rsidRPr="004E35C4" w:rsidRDefault="00B31B77" w:rsidP="00B31B77">
      <w:pPr>
        <w:pStyle w:val="Heading2"/>
        <w:spacing w:before="80" w:after="80"/>
        <w:rPr>
          <w:rFonts w:ascii="Open Sans" w:hAnsi="Open Sans" w:cs="Open Sans"/>
          <w:color w:val="00A885"/>
          <w:sz w:val="23"/>
          <w:szCs w:val="23"/>
        </w:rPr>
      </w:pPr>
      <w:r>
        <w:rPr>
          <w:rFonts w:ascii="Open Sans" w:hAnsi="Open Sans"/>
          <w:b/>
          <w:color w:val="00A885"/>
          <w:sz w:val="23"/>
        </w:rPr>
        <w:t>Antecedentes</w:t>
      </w:r>
    </w:p>
    <w:p w14:paraId="4D0F22C4" w14:textId="3E8E7AB5" w:rsidR="00B31B77" w:rsidRPr="00A20E4D" w:rsidRDefault="00B31B77" w:rsidP="00B31B77">
      <w:pPr>
        <w:pStyle w:val="NormalWeb"/>
        <w:spacing w:before="80" w:beforeAutospacing="0" w:after="80" w:afterAutospacing="0"/>
        <w:rPr>
          <w:rFonts w:ascii="Open Sans" w:hAnsi="Open Sans" w:cs="Open Sans"/>
          <w:color w:val="000000"/>
          <w:sz w:val="22"/>
          <w:szCs w:val="22"/>
        </w:rPr>
      </w:pPr>
      <w:r>
        <w:rPr>
          <w:rFonts w:ascii="Open Sans" w:hAnsi="Open Sans"/>
          <w:color w:val="000000"/>
          <w:sz w:val="22"/>
        </w:rPr>
        <w:t xml:space="preserve">Es importante que los usuarios y las usuarias de las normas humanitarias, especialmente aquellas proporcionadas por la </w:t>
      </w:r>
      <w:hyperlink r:id="rId12" w:history="1">
        <w:r>
          <w:rPr>
            <w:rStyle w:val="Hyperlink"/>
            <w:rFonts w:ascii="Open Sans" w:hAnsi="Open Sans"/>
            <w:sz w:val="22"/>
          </w:rPr>
          <w:t>Cooperación de Normas Humanitarias</w:t>
        </w:r>
      </w:hyperlink>
      <w:r>
        <w:rPr>
          <w:rFonts w:ascii="Open Sans" w:hAnsi="Open Sans"/>
          <w:color w:val="000000"/>
          <w:sz w:val="22"/>
        </w:rPr>
        <w:t xml:space="preserve"> (HSP), puedan reconocer la diferencia entre las </w:t>
      </w:r>
      <w:r>
        <w:rPr>
          <w:rFonts w:ascii="Open Sans" w:hAnsi="Open Sans"/>
          <w:b/>
          <w:color w:val="000000"/>
          <w:sz w:val="22"/>
        </w:rPr>
        <w:t>normas</w:t>
      </w:r>
      <w:r>
        <w:rPr>
          <w:rFonts w:ascii="Open Sans" w:hAnsi="Open Sans"/>
          <w:color w:val="000000"/>
          <w:sz w:val="22"/>
        </w:rPr>
        <w:t xml:space="preserve">: afirmaciones cualitativas de derechos humanos que son aplicables en todos los contextos, y los </w:t>
      </w:r>
      <w:r>
        <w:rPr>
          <w:rFonts w:ascii="Open Sans" w:hAnsi="Open Sans"/>
          <w:b/>
          <w:color w:val="000000"/>
          <w:sz w:val="22"/>
        </w:rPr>
        <w:t>objetivos</w:t>
      </w:r>
      <w:r>
        <w:rPr>
          <w:rFonts w:ascii="Open Sans" w:hAnsi="Open Sans"/>
          <w:color w:val="000000"/>
          <w:sz w:val="22"/>
        </w:rPr>
        <w:t xml:space="preserve">: valores cuantitativos asociados con algunos indicadores que podrían ser señal de un problema en caso de que no se cumplan, y que deben considerarse en su contexto. </w:t>
      </w:r>
    </w:p>
    <w:p w14:paraId="4168AF26" w14:textId="1B04C662" w:rsidR="00F7489F" w:rsidRPr="00A20E4D" w:rsidRDefault="00F7489F" w:rsidP="00B31B77">
      <w:pPr>
        <w:pStyle w:val="NormalWeb"/>
        <w:spacing w:before="80" w:beforeAutospacing="0" w:after="80" w:afterAutospacing="0"/>
        <w:rPr>
          <w:rFonts w:ascii="Open Sans" w:hAnsi="Open Sans" w:cs="Open Sans"/>
          <w:color w:val="000000"/>
          <w:sz w:val="22"/>
          <w:szCs w:val="22"/>
        </w:rPr>
      </w:pPr>
      <w:r>
        <w:rPr>
          <w:rFonts w:ascii="Open Sans" w:hAnsi="Open Sans"/>
          <w:color w:val="000000"/>
          <w:sz w:val="22"/>
        </w:rPr>
        <w:t xml:space="preserve">Probablemente el </w:t>
      </w:r>
      <w:r>
        <w:rPr>
          <w:rFonts w:ascii="Open Sans" w:hAnsi="Open Sans"/>
          <w:b/>
          <w:color w:val="000000"/>
          <w:sz w:val="22"/>
        </w:rPr>
        <w:t xml:space="preserve">objetivo </w:t>
      </w:r>
      <w:r>
        <w:rPr>
          <w:rFonts w:ascii="Open Sans" w:hAnsi="Open Sans"/>
          <w:color w:val="000000"/>
          <w:sz w:val="22"/>
        </w:rPr>
        <w:t xml:space="preserve">mejor conocido del Manual Esfera sea “Mínimo de 15 litros por persona y día” (de la norma </w:t>
      </w:r>
      <w:hyperlink r:id="rId13" w:anchor="ch006_004_001" w:history="1">
        <w:r>
          <w:rPr>
            <w:rStyle w:val="Hyperlink"/>
            <w:rFonts w:ascii="Open Sans" w:hAnsi="Open Sans"/>
            <w:sz w:val="22"/>
          </w:rPr>
          <w:t>Acceso y cantidad de agua</w:t>
        </w:r>
      </w:hyperlink>
      <w:r>
        <w:rPr>
          <w:rFonts w:ascii="Open Sans" w:hAnsi="Open Sans"/>
          <w:color w:val="000000"/>
          <w:sz w:val="22"/>
        </w:rPr>
        <w:t xml:space="preserve"> en la página 120).</w:t>
      </w:r>
    </w:p>
    <w:p w14:paraId="58F6B568" w14:textId="57F93B0B" w:rsidR="00A00D56" w:rsidRPr="00A20E4D" w:rsidRDefault="000E7408" w:rsidP="00B31B77">
      <w:pPr>
        <w:pStyle w:val="NormalWeb"/>
        <w:spacing w:before="80" w:beforeAutospacing="0" w:after="80" w:afterAutospacing="0"/>
        <w:rPr>
          <w:rFonts w:ascii="Open Sans" w:hAnsi="Open Sans" w:cs="Open Sans"/>
          <w:color w:val="000000"/>
          <w:sz w:val="22"/>
          <w:szCs w:val="22"/>
        </w:rPr>
      </w:pPr>
      <w:r>
        <w:rPr>
          <w:rFonts w:ascii="Open Sans" w:hAnsi="Open Sans"/>
          <w:noProof/>
          <w:sz w:val="22"/>
        </w:rPr>
        <mc:AlternateContent>
          <mc:Choice Requires="wps">
            <w:drawing>
              <wp:anchor distT="0" distB="0" distL="114300" distR="114300" simplePos="0" relativeHeight="251665408" behindDoc="0" locked="0" layoutInCell="1" allowOverlap="1" wp14:anchorId="16C0861C" wp14:editId="4739CCA2">
                <wp:simplePos x="0" y="0"/>
                <wp:positionH relativeFrom="column">
                  <wp:posOffset>-589418</wp:posOffset>
                </wp:positionH>
                <wp:positionV relativeFrom="paragraph">
                  <wp:posOffset>1497965</wp:posOffset>
                </wp:positionV>
                <wp:extent cx="925033" cy="553444"/>
                <wp:effectExtent l="0" t="19050" r="46990" b="37465"/>
                <wp:wrapNone/>
                <wp:docPr id="6" name="Arrow: Left 6"/>
                <wp:cNvGraphicFramePr/>
                <a:graphic xmlns:a="http://schemas.openxmlformats.org/drawingml/2006/main">
                  <a:graphicData uri="http://schemas.microsoft.com/office/word/2010/wordprocessingShape">
                    <wps:wsp>
                      <wps:cNvSpPr/>
                      <wps:spPr>
                        <a:xfrm flipH="1">
                          <a:off x="0" y="0"/>
                          <a:ext cx="925033" cy="553444"/>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B4D67DE" w14:textId="6F7A5ECA" w:rsidR="004E3F44" w:rsidRDefault="004E3F44" w:rsidP="004E3F44">
                            <w:pPr>
                              <w:contextualSpacing/>
                              <w:jc w:val="center"/>
                            </w:pPr>
                            <w:r>
                              <w:t>Indicador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C0861C"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rrow: Left 6" o:spid="_x0000_s1026" type="#_x0000_t66" style="position:absolute;margin-left:-46.4pt;margin-top:117.95pt;width:72.85pt;height:43.6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" adj="6462" fillcolor="#4472c4 [3204]" strokecolor="#1f3763 [1604]" strokeweight="1pt">
                <v:textbox>
                  <w:txbxContent>
                    <w:p w14:paraId="2B4D67DE" w14:textId="6F7A5ECA" w:rsidR="004E3F44" w:rsidRDefault="004E3F44" w:rsidP="004E3F44">
                      <w:pPr>
                        <w:contextualSpacing/>
                        <w:jc w:val="center"/>
                      </w:pPr>
                      <w:r>
                        <w:t>Indicador</w:t>
                      </w:r>
                    </w:p>
                  </w:txbxContent>
                </v:textbox>
              </v:shape>
            </w:pict>
          </mc:Fallback>
        </mc:AlternateContent>
      </w:r>
    </w:p>
    <w:tbl>
      <w:tblPr>
        <w:tblW w:w="0" w:type="auto"/>
        <w:tblInd w:w="355" w:type="dxa"/>
        <w:tblCellMar>
          <w:top w:w="15" w:type="dxa"/>
          <w:left w:w="15" w:type="dxa"/>
          <w:bottom w:w="15" w:type="dxa"/>
          <w:right w:w="15" w:type="dxa"/>
        </w:tblCellMar>
        <w:tblLook w:val="04A0" w:firstRow="1" w:lastRow="0" w:firstColumn="1" w:lastColumn="0" w:noHBand="0" w:noVBand="1"/>
      </w:tblPr>
      <w:tblGrid>
        <w:gridCol w:w="8195"/>
      </w:tblGrid>
      <w:tr w:rsidR="00F7489F" w:rsidRPr="00A20E4D" w14:paraId="303FE02A" w14:textId="77777777" w:rsidTr="00053A5C">
        <w:trPr>
          <w:trHeight w:val="1527"/>
        </w:trPr>
        <w:tc>
          <w:tcPr>
            <w:tcW w:w="8195" w:type="dxa"/>
            <w:tcBorders>
              <w:top w:val="single" w:sz="12" w:space="0" w:color="00A885"/>
              <w:bottom w:val="single" w:sz="12" w:space="0" w:color="00A885"/>
            </w:tcBorders>
            <w:shd w:val="clear" w:color="auto" w:fill="E7FFFA"/>
            <w:tcMar>
              <w:top w:w="0" w:type="dxa"/>
              <w:left w:w="108" w:type="dxa"/>
              <w:bottom w:w="0" w:type="dxa"/>
              <w:right w:w="108" w:type="dxa"/>
            </w:tcMar>
            <w:hideMark/>
          </w:tcPr>
          <w:p w14:paraId="0C76C19C" w14:textId="77777777" w:rsidR="003A7AFA" w:rsidRPr="00A20E4D" w:rsidRDefault="003A7AFA" w:rsidP="003A7AFA">
            <w:pPr>
              <w:pStyle w:val="NormalWeb"/>
              <w:spacing w:before="120" w:beforeAutospacing="0" w:after="0" w:afterAutospacing="0"/>
              <w:ind w:left="158"/>
              <w:rPr>
                <w:rFonts w:ascii="Open Sans Semibold" w:hAnsi="Open Sans Semibold" w:cs="Open Sans Semibold"/>
                <w:color w:val="00A885"/>
                <w:sz w:val="22"/>
                <w:szCs w:val="22"/>
              </w:rPr>
            </w:pPr>
            <w:r>
              <w:rPr>
                <w:rFonts w:ascii="Open Sans Semibold" w:hAnsi="Open Sans Semibold"/>
                <w:color w:val="00A885"/>
                <w:sz w:val="22"/>
              </w:rPr>
              <w:t>Abastecimiento de agua - Norma 2.1:</w:t>
            </w:r>
            <w:r>
              <w:rPr>
                <w:rFonts w:ascii="Open Sans Semibold" w:hAnsi="Open Sans Semibold"/>
                <w:color w:val="00A885"/>
                <w:sz w:val="22"/>
              </w:rPr>
              <w:br/>
              <w:t>Acceso y cantidad de agua</w:t>
            </w:r>
          </w:p>
          <w:p w14:paraId="7F530DA8" w14:textId="53E4D2C5" w:rsidR="00F7489F" w:rsidRPr="00A20E4D" w:rsidRDefault="003A7AFA" w:rsidP="003A7AFA">
            <w:pPr>
              <w:pStyle w:val="NormalWeb"/>
              <w:spacing w:before="60" w:beforeAutospacing="0" w:after="0" w:afterAutospacing="0"/>
              <w:ind w:left="158"/>
              <w:rPr>
                <w:rFonts w:ascii="Open Sans" w:hAnsi="Open Sans" w:cs="Open Sans"/>
                <w:sz w:val="22"/>
                <w:szCs w:val="22"/>
              </w:rPr>
            </w:pPr>
            <w:r>
              <w:rPr>
                <w:rFonts w:ascii="Open Sans" w:hAnsi="Open Sans"/>
                <w:sz w:val="22"/>
              </w:rPr>
              <w:t xml:space="preserve">Las personas tienen acceso equitativo y asequible a una cantidad adecuada de agua segura para beber y para sus necesidades domésticas. </w:t>
            </w:r>
          </w:p>
        </w:tc>
      </w:tr>
      <w:tr w:rsidR="00F7489F" w:rsidRPr="00A20E4D" w14:paraId="2D55E547" w14:textId="77777777" w:rsidTr="006C0F70">
        <w:trPr>
          <w:trHeight w:val="1761"/>
        </w:trPr>
        <w:tc>
          <w:tcPr>
            <w:tcW w:w="8195" w:type="dxa"/>
            <w:tcBorders>
              <w:top w:val="single" w:sz="12" w:space="0" w:color="00A885"/>
            </w:tcBorders>
            <w:tcMar>
              <w:top w:w="0" w:type="dxa"/>
              <w:left w:w="108" w:type="dxa"/>
              <w:bottom w:w="0" w:type="dxa"/>
              <w:right w:w="108" w:type="dxa"/>
            </w:tcMar>
          </w:tcPr>
          <w:p w14:paraId="1D878819" w14:textId="028FD735" w:rsidR="00F7489F" w:rsidRPr="00A20E4D" w:rsidRDefault="00F7489F" w:rsidP="00FE1047">
            <w:pPr>
              <w:pStyle w:val="NormalWeb"/>
              <w:spacing w:before="160" w:beforeAutospacing="0" w:after="80" w:afterAutospacing="0"/>
              <w:ind w:left="161"/>
              <w:rPr>
                <w:rFonts w:ascii="Open Sans Semibold" w:hAnsi="Open Sans Semibold" w:cs="Open Sans Semibold"/>
                <w:color w:val="00A885"/>
                <w:sz w:val="22"/>
                <w:szCs w:val="22"/>
              </w:rPr>
            </w:pPr>
            <w:r>
              <w:rPr>
                <w:rFonts w:ascii="Open Sans Semibold" w:hAnsi="Open Sans Semibold"/>
                <w:color w:val="00A885"/>
                <w:sz w:val="22"/>
              </w:rPr>
              <w:t>Indicadores clave</w:t>
            </w:r>
          </w:p>
          <w:p w14:paraId="737CDC94" w14:textId="0F5B0C6F" w:rsidR="00F7489F" w:rsidRPr="00A20E4D" w:rsidRDefault="00A20E4D" w:rsidP="00FE1047">
            <w:pPr>
              <w:pStyle w:val="NormalWeb"/>
              <w:spacing w:before="80" w:beforeAutospacing="0" w:after="80" w:afterAutospacing="0"/>
              <w:ind w:left="161"/>
              <w:rPr>
                <w:rFonts w:ascii="Open Sans" w:hAnsi="Open Sans" w:cs="Open Sans"/>
                <w:b/>
                <w:bCs/>
                <w:sz w:val="22"/>
                <w:szCs w:val="22"/>
              </w:rPr>
            </w:pPr>
            <w:r>
              <w:rPr>
                <w:rFonts w:ascii="Open Sans" w:hAnsi="Open Sans"/>
                <w:noProof/>
                <w:sz w:val="22"/>
              </w:rPr>
              <mc:AlternateContent>
                <mc:Choice Requires="wps">
                  <w:drawing>
                    <wp:anchor distT="0" distB="0" distL="114300" distR="114300" simplePos="0" relativeHeight="251667456" behindDoc="0" locked="0" layoutInCell="1" allowOverlap="1" wp14:anchorId="2D6269F6" wp14:editId="393302E2">
                      <wp:simplePos x="0" y="0"/>
                      <wp:positionH relativeFrom="column">
                        <wp:posOffset>2622219</wp:posOffset>
                      </wp:positionH>
                      <wp:positionV relativeFrom="paragraph">
                        <wp:posOffset>265761</wp:posOffset>
                      </wp:positionV>
                      <wp:extent cx="871496" cy="553444"/>
                      <wp:effectExtent l="19050" t="19050" r="24130" b="37465"/>
                      <wp:wrapNone/>
                      <wp:docPr id="8" name="Arrow: Left 8"/>
                      <wp:cNvGraphicFramePr/>
                      <a:graphic xmlns:a="http://schemas.openxmlformats.org/drawingml/2006/main">
                        <a:graphicData uri="http://schemas.microsoft.com/office/word/2010/wordprocessingShape">
                          <wps:wsp>
                            <wps:cNvSpPr/>
                            <wps:spPr>
                              <a:xfrm>
                                <a:off x="0" y="0"/>
                                <a:ext cx="871496" cy="553444"/>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16388FF" w14:textId="44F4B456" w:rsidR="00C95DEA" w:rsidRDefault="00C95DEA" w:rsidP="00C95DEA">
                                  <w:pPr>
                                    <w:contextualSpacing/>
                                    <w:jc w:val="center"/>
                                  </w:pPr>
                                  <w:r>
                                    <w:t>Objetivo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6269F6" id="Arrow: Left 8" o:spid="_x0000_s1027" type="#_x0000_t66" style="position:absolute;left:0;text-align:left;margin-left:206.45pt;margin-top:20.95pt;width:68.6pt;height:4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" adj="6859" fillcolor="#4472c4 [3204]" strokecolor="#1f3763 [1604]" strokeweight="1pt">
                      <v:textbox>
                        <w:txbxContent>
                          <w:p w14:paraId="116388FF" w14:textId="44F4B456" w:rsidR="00C95DEA" w:rsidRDefault="00C95DEA" w:rsidP="00C95DEA">
                            <w:pPr>
                              <w:contextualSpacing/>
                              <w:jc w:val="center"/>
                            </w:pPr>
                            <w:r>
                              <w:t>Objetivo</w:t>
                            </w:r>
                          </w:p>
                        </w:txbxContent>
                      </v:textbox>
                    </v:shape>
                  </w:pict>
                </mc:Fallback>
              </mc:AlternateContent>
            </w:r>
            <w:r>
              <w:rPr>
                <w:rFonts w:ascii="Open Sans" w:hAnsi="Open Sans"/>
                <w:b/>
                <w:sz w:val="22"/>
              </w:rPr>
              <w:t>Volumen medio de agua utilizada para beber y para la higiene doméstica por hogar</w:t>
            </w:r>
          </w:p>
          <w:p w14:paraId="18270E22" w14:textId="561A6BA3" w:rsidR="00F7489F" w:rsidRPr="00A20E4D" w:rsidRDefault="006C0F70" w:rsidP="00FE1047">
            <w:pPr>
              <w:pStyle w:val="NormalWeb"/>
              <w:numPr>
                <w:ilvl w:val="0"/>
                <w:numId w:val="26"/>
              </w:numPr>
              <w:spacing w:before="80" w:beforeAutospacing="0" w:after="80" w:afterAutospacing="0"/>
              <w:rPr>
                <w:rFonts w:ascii="Open Sans Semibold" w:hAnsi="Open Sans Semibold" w:cs="Open Sans Semibold"/>
                <w:color w:val="00A885"/>
                <w:sz w:val="22"/>
                <w:szCs w:val="22"/>
              </w:rPr>
            </w:pPr>
            <w:r>
              <w:rPr>
                <w:rFonts w:ascii="Open Sans" w:hAnsi="Open Sans"/>
                <w:sz w:val="22"/>
              </w:rPr>
              <w:t xml:space="preserve">Mínimo de 15 litros persona y día. </w:t>
            </w:r>
          </w:p>
        </w:tc>
      </w:tr>
    </w:tbl>
    <w:p w14:paraId="38626DE1" w14:textId="7AB9D9B9" w:rsidR="00E0335C" w:rsidRPr="00BA6F33" w:rsidRDefault="00E0335C" w:rsidP="00B31B77">
      <w:pPr>
        <w:pStyle w:val="NormalWeb"/>
        <w:spacing w:before="80" w:beforeAutospacing="0" w:after="80" w:afterAutospacing="0"/>
        <w:rPr>
          <w:rFonts w:ascii="Open Sans" w:hAnsi="Open Sans" w:cs="Open Sans"/>
          <w:sz w:val="22"/>
          <w:szCs w:val="22"/>
        </w:rPr>
      </w:pPr>
    </w:p>
    <w:p w14:paraId="51B795BD" w14:textId="070188FE" w:rsidR="000E7408" w:rsidRPr="00A20E4D" w:rsidRDefault="007416E4" w:rsidP="00B31B77">
      <w:pPr>
        <w:pStyle w:val="NormalWeb"/>
        <w:spacing w:before="80" w:beforeAutospacing="0" w:after="80" w:afterAutospacing="0"/>
        <w:rPr>
          <w:rFonts w:ascii="Open Sans" w:hAnsi="Open Sans" w:cs="Open Sans"/>
          <w:sz w:val="22"/>
          <w:szCs w:val="22"/>
        </w:rPr>
      </w:pPr>
      <w:r>
        <w:rPr>
          <w:rFonts w:ascii="Open Sans" w:hAnsi="Open Sans"/>
          <w:sz w:val="22"/>
        </w:rPr>
        <w:t xml:space="preserve">El texto en negrita es un </w:t>
      </w:r>
      <w:r>
        <w:rPr>
          <w:rFonts w:ascii="Open Sans" w:hAnsi="Open Sans"/>
          <w:b/>
          <w:sz w:val="22"/>
        </w:rPr>
        <w:t>indicador</w:t>
      </w:r>
      <w:r>
        <w:rPr>
          <w:rFonts w:ascii="Open Sans" w:hAnsi="Open Sans"/>
          <w:sz w:val="22"/>
        </w:rPr>
        <w:t xml:space="preserve">. Cada punto de enumeración es un </w:t>
      </w:r>
      <w:r>
        <w:rPr>
          <w:rFonts w:ascii="Open Sans" w:hAnsi="Open Sans"/>
          <w:b/>
          <w:sz w:val="22"/>
        </w:rPr>
        <w:t xml:space="preserve">objetivo </w:t>
      </w:r>
      <w:r>
        <w:rPr>
          <w:rFonts w:ascii="Open Sans" w:hAnsi="Open Sans"/>
          <w:sz w:val="22"/>
        </w:rPr>
        <w:t>asociado con ese indicador. El texto en negrita y los puntos de enumeración forma</w:t>
      </w:r>
      <w:r w:rsidR="005F7983">
        <w:rPr>
          <w:rFonts w:ascii="Open Sans" w:hAnsi="Open Sans"/>
          <w:sz w:val="22"/>
        </w:rPr>
        <w:t>n</w:t>
      </w:r>
      <w:r>
        <w:rPr>
          <w:rFonts w:ascii="Open Sans" w:hAnsi="Open Sans"/>
          <w:sz w:val="22"/>
        </w:rPr>
        <w:t xml:space="preserve"> en conjunto un </w:t>
      </w:r>
      <w:r>
        <w:rPr>
          <w:rFonts w:ascii="Open Sans" w:hAnsi="Open Sans"/>
          <w:b/>
          <w:sz w:val="22"/>
        </w:rPr>
        <w:t>indicador de objetivo</w:t>
      </w:r>
      <w:r>
        <w:rPr>
          <w:rFonts w:ascii="Open Sans" w:hAnsi="Open Sans"/>
          <w:sz w:val="22"/>
        </w:rPr>
        <w:t xml:space="preserve"> (ver </w:t>
      </w:r>
      <w:hyperlink r:id="rId14" w:anchor="ch002_002_001_004" w:history="1">
        <w:r>
          <w:rPr>
            <w:rStyle w:val="Hyperlink"/>
            <w:rFonts w:ascii="Open Sans" w:hAnsi="Open Sans"/>
            <w:sz w:val="22"/>
          </w:rPr>
          <w:t>Trabajar con los indicadores clave</w:t>
        </w:r>
      </w:hyperlink>
      <w:r>
        <w:rPr>
          <w:rFonts w:ascii="Open Sans" w:hAnsi="Open Sans"/>
          <w:sz w:val="22"/>
        </w:rPr>
        <w:t xml:space="preserve"> en la página 7 del Manual Esfera).</w:t>
      </w:r>
    </w:p>
    <w:p w14:paraId="58B59DC1" w14:textId="71385A65" w:rsidR="00B31B77" w:rsidRPr="00A20E4D" w:rsidRDefault="00B31B77" w:rsidP="00B31B77">
      <w:pPr>
        <w:pStyle w:val="NormalWeb"/>
        <w:spacing w:before="80" w:beforeAutospacing="0" w:after="80" w:afterAutospacing="0"/>
        <w:rPr>
          <w:rFonts w:ascii="Open Sans" w:hAnsi="Open Sans" w:cs="Open Sans"/>
          <w:sz w:val="22"/>
          <w:szCs w:val="22"/>
        </w:rPr>
      </w:pPr>
      <w:r>
        <w:rPr>
          <w:rFonts w:ascii="Open Sans" w:hAnsi="Open Sans"/>
          <w:color w:val="000000"/>
          <w:sz w:val="22"/>
        </w:rPr>
        <w:t xml:space="preserve">Al tratar de </w:t>
      </w:r>
      <w:r w:rsidR="000F774E">
        <w:rPr>
          <w:rFonts w:ascii="Open Sans" w:hAnsi="Open Sans"/>
          <w:color w:val="000000"/>
          <w:sz w:val="22"/>
        </w:rPr>
        <w:t>cumplir</w:t>
      </w:r>
      <w:r>
        <w:rPr>
          <w:rFonts w:ascii="Open Sans" w:hAnsi="Open Sans"/>
          <w:color w:val="000000"/>
          <w:sz w:val="22"/>
        </w:rPr>
        <w:t xml:space="preserve"> objetivos en lugar de normas se asume que todas las personas nacen con igualdad de </w:t>
      </w:r>
      <w:r>
        <w:rPr>
          <w:rFonts w:ascii="Open Sans" w:hAnsi="Open Sans"/>
          <w:i/>
          <w:color w:val="000000"/>
          <w:sz w:val="22"/>
        </w:rPr>
        <w:t>necesidades</w:t>
      </w:r>
      <w:r>
        <w:rPr>
          <w:rFonts w:ascii="Open Sans" w:hAnsi="Open Sans"/>
          <w:color w:val="000000"/>
          <w:sz w:val="22"/>
        </w:rPr>
        <w:t xml:space="preserve">, en lugar de igualdad de </w:t>
      </w:r>
      <w:r>
        <w:rPr>
          <w:rFonts w:ascii="Open Sans" w:hAnsi="Open Sans"/>
          <w:i/>
          <w:color w:val="000000"/>
          <w:sz w:val="22"/>
        </w:rPr>
        <w:t>derechos</w:t>
      </w:r>
      <w:r>
        <w:rPr>
          <w:rFonts w:ascii="Open Sans" w:hAnsi="Open Sans"/>
          <w:color w:val="000000"/>
          <w:sz w:val="22"/>
        </w:rPr>
        <w:t xml:space="preserve">, lo cual es un error potencialmente dañino. </w:t>
      </w:r>
    </w:p>
    <w:p w14:paraId="10C560FC" w14:textId="7F266CF9" w:rsidR="009B077B" w:rsidRPr="00BA6F33" w:rsidRDefault="009B077B" w:rsidP="00B31B77">
      <w:pPr>
        <w:pStyle w:val="NormalWeb"/>
        <w:spacing w:before="80" w:beforeAutospacing="0" w:after="80" w:afterAutospacing="0"/>
        <w:rPr>
          <w:rFonts w:ascii="Open Sans" w:hAnsi="Open Sans" w:cs="Open Sans"/>
          <w:color w:val="000000"/>
          <w:sz w:val="22"/>
          <w:szCs w:val="22"/>
        </w:rPr>
      </w:pPr>
    </w:p>
    <w:p w14:paraId="0FB3D8F7" w14:textId="26AE6D3E" w:rsidR="009B077B" w:rsidRPr="00C278F2" w:rsidRDefault="009B077B" w:rsidP="009B077B">
      <w:pPr>
        <w:pStyle w:val="Heading2"/>
        <w:spacing w:before="80" w:after="80"/>
        <w:rPr>
          <w:rFonts w:ascii="Open Sans" w:hAnsi="Open Sans" w:cs="Open Sans"/>
          <w:b/>
          <w:bCs/>
          <w:color w:val="00A885"/>
          <w:sz w:val="23"/>
          <w:szCs w:val="23"/>
        </w:rPr>
      </w:pPr>
      <w:r>
        <w:rPr>
          <w:rFonts w:ascii="Open Sans" w:hAnsi="Open Sans"/>
          <w:b/>
          <w:color w:val="00A885"/>
          <w:sz w:val="23"/>
        </w:rPr>
        <w:t>Acerca de este recurso de aprendizaje</w:t>
      </w:r>
    </w:p>
    <w:p w14:paraId="4A71EC2D" w14:textId="32FF9177" w:rsidR="00B31B77" w:rsidRPr="00A20E4D" w:rsidRDefault="00B31B77" w:rsidP="001D6656">
      <w:pPr>
        <w:pStyle w:val="NormalWeb"/>
        <w:spacing w:before="80" w:beforeAutospacing="0" w:after="80" w:afterAutospacing="0"/>
        <w:rPr>
          <w:rFonts w:ascii="Open Sans" w:hAnsi="Open Sans" w:cs="Open Sans"/>
          <w:sz w:val="22"/>
          <w:szCs w:val="22"/>
        </w:rPr>
      </w:pPr>
      <w:r>
        <w:rPr>
          <w:rFonts w:ascii="Open Sans" w:hAnsi="Open Sans"/>
          <w:color w:val="000000"/>
          <w:sz w:val="22"/>
        </w:rPr>
        <w:t xml:space="preserve">Este recurso de aprendizaje está diseñado para ayudar a estudiantes a diferenciar entre </w:t>
      </w:r>
      <w:r>
        <w:rPr>
          <w:rFonts w:ascii="Open Sans" w:hAnsi="Open Sans"/>
          <w:b/>
          <w:color w:val="000000"/>
          <w:sz w:val="22"/>
        </w:rPr>
        <w:t>normas</w:t>
      </w:r>
      <w:r>
        <w:rPr>
          <w:rFonts w:ascii="Open Sans" w:hAnsi="Open Sans"/>
          <w:color w:val="000000"/>
          <w:sz w:val="22"/>
        </w:rPr>
        <w:t xml:space="preserve"> y </w:t>
      </w:r>
      <w:r>
        <w:rPr>
          <w:rFonts w:ascii="Open Sans" w:hAnsi="Open Sans"/>
          <w:b/>
          <w:color w:val="000000"/>
          <w:sz w:val="22"/>
        </w:rPr>
        <w:t>objetivos</w:t>
      </w:r>
      <w:r>
        <w:rPr>
          <w:rFonts w:ascii="Open Sans" w:hAnsi="Open Sans"/>
          <w:color w:val="000000"/>
          <w:sz w:val="22"/>
        </w:rPr>
        <w:t xml:space="preserve">. Utiliza un conjunto de 12 imágenes que fueron inspirados por una </w:t>
      </w:r>
      <w:r>
        <w:rPr>
          <w:rFonts w:ascii="Open Sans" w:hAnsi="Open Sans"/>
          <w:color w:val="000000"/>
          <w:sz w:val="22"/>
        </w:rPr>
        <w:lastRenderedPageBreak/>
        <w:t>ilustración original de Craig Froehle (</w:t>
      </w:r>
      <w:hyperlink r:id="rId15" w:history="1">
        <w:r>
          <w:rPr>
            <w:rStyle w:val="Hyperlink"/>
            <w:rFonts w:ascii="Open Sans" w:hAnsi="Open Sans"/>
            <w:color w:val="1155CC"/>
            <w:sz w:val="22"/>
          </w:rPr>
          <w:t>The Evolution of an Accidental Meme | by Craig</w:t>
        </w:r>
      </w:hyperlink>
      <w:r w:rsidR="0085487A">
        <w:rPr>
          <w:rFonts w:ascii="Open Sans" w:hAnsi="Open Sans"/>
          <w:color w:val="000000"/>
          <w:sz w:val="22"/>
        </w:rPr>
        <w:t xml:space="preserve"> -- </w:t>
      </w:r>
      <w:r w:rsidRPr="0085487A">
        <w:rPr>
          <w:rFonts w:ascii="Open Sans" w:hAnsi="Open Sans"/>
          <w:i/>
          <w:iCs/>
          <w:color w:val="000000"/>
          <w:sz w:val="22"/>
        </w:rPr>
        <w:t>La evolución de un meme accidental</w:t>
      </w:r>
      <w:r w:rsidR="0085487A">
        <w:rPr>
          <w:rFonts w:ascii="Open Sans" w:hAnsi="Open Sans"/>
          <w:i/>
          <w:iCs/>
          <w:color w:val="000000"/>
          <w:sz w:val="22"/>
        </w:rPr>
        <w:t>.</w:t>
      </w:r>
      <w:r w:rsidR="0085487A">
        <w:rPr>
          <w:rFonts w:ascii="Open Sans" w:hAnsi="Open Sans"/>
          <w:color w:val="000000"/>
          <w:sz w:val="22"/>
        </w:rPr>
        <w:t>)</w:t>
      </w:r>
    </w:p>
    <w:p w14:paraId="0F7E45E1" w14:textId="60278940" w:rsidR="00B31B77" w:rsidRPr="00A20E4D" w:rsidRDefault="00B31B77" w:rsidP="001D6656">
      <w:pPr>
        <w:pStyle w:val="NormalWeb"/>
        <w:spacing w:before="80" w:beforeAutospacing="0" w:after="80" w:afterAutospacing="0"/>
        <w:rPr>
          <w:rFonts w:ascii="Open Sans" w:hAnsi="Open Sans" w:cs="Open Sans"/>
          <w:color w:val="000000"/>
          <w:sz w:val="22"/>
          <w:szCs w:val="22"/>
        </w:rPr>
      </w:pPr>
      <w:r>
        <w:rPr>
          <w:rFonts w:ascii="Open Sans" w:hAnsi="Open Sans"/>
          <w:color w:val="000000"/>
          <w:sz w:val="22"/>
        </w:rPr>
        <w:t>La mejor forma de que las personas aprendan esta importante distinción es resolverla ellas mismas, algo que podrán hacer analizando todas o algunas de estas 12 imágenes.</w:t>
      </w:r>
      <w:r w:rsidR="00306C1D">
        <w:rPr>
          <w:rFonts w:ascii="Open Sans" w:hAnsi="Open Sans"/>
          <w:color w:val="000000"/>
          <w:sz w:val="22"/>
        </w:rPr>
        <w:t xml:space="preserve"> </w:t>
      </w:r>
      <w:r>
        <w:rPr>
          <w:rFonts w:ascii="Open Sans" w:hAnsi="Open Sans"/>
          <w:color w:val="000000"/>
          <w:sz w:val="22"/>
        </w:rPr>
        <w:t xml:space="preserve">La actividad puede adaptarse fácilmente a talleres o cursos de formación en línea o presenciales. </w:t>
      </w:r>
    </w:p>
    <w:p w14:paraId="433B6E56" w14:textId="5647CBA2" w:rsidR="001B25E7" w:rsidRDefault="00F823C7" w:rsidP="001D6656">
      <w:pPr>
        <w:pStyle w:val="CommentText"/>
        <w:spacing w:beforeLines="80" w:before="192" w:afterLines="80" w:after="192"/>
        <w:rPr>
          <w:rFonts w:ascii="Open Sans" w:eastAsia="Times New Roman" w:hAnsi="Open Sans" w:cs="Open Sans"/>
          <w:color w:val="000000"/>
          <w:sz w:val="22"/>
          <w:szCs w:val="22"/>
        </w:rPr>
      </w:pPr>
      <w:r>
        <w:rPr>
          <w:rFonts w:ascii="Open Sans" w:hAnsi="Open Sans"/>
          <w:color w:val="000000"/>
          <w:sz w:val="22"/>
        </w:rPr>
        <w:t>Las viñetas están basadas en un</w:t>
      </w:r>
      <w:r w:rsidR="00A80191">
        <w:rPr>
          <w:rFonts w:ascii="Open Sans" w:hAnsi="Open Sans"/>
          <w:color w:val="000000"/>
          <w:sz w:val="22"/>
        </w:rPr>
        <w:t>a norma</w:t>
      </w:r>
      <w:r>
        <w:rPr>
          <w:rFonts w:ascii="Open Sans" w:hAnsi="Open Sans"/>
          <w:color w:val="000000"/>
          <w:sz w:val="22"/>
        </w:rPr>
        <w:t xml:space="preserve"> imaginari</w:t>
      </w:r>
      <w:r w:rsidR="00A80191">
        <w:rPr>
          <w:rFonts w:ascii="Open Sans" w:hAnsi="Open Sans"/>
          <w:color w:val="000000"/>
          <w:sz w:val="22"/>
        </w:rPr>
        <w:t>a</w:t>
      </w:r>
      <w:r>
        <w:rPr>
          <w:rFonts w:ascii="Open Sans" w:hAnsi="Open Sans"/>
          <w:color w:val="000000"/>
          <w:sz w:val="22"/>
        </w:rPr>
        <w:t xml:space="preserve">: </w:t>
      </w:r>
      <w:r>
        <w:rPr>
          <w:rFonts w:ascii="Open Sans" w:hAnsi="Open Sans"/>
          <w:i/>
          <w:color w:val="000000"/>
          <w:sz w:val="22"/>
        </w:rPr>
        <w:t xml:space="preserve">Las personas pueden ver el bello paisaje de forma segura. </w:t>
      </w:r>
      <w:r>
        <w:rPr>
          <w:rFonts w:ascii="Open Sans" w:hAnsi="Open Sans"/>
          <w:color w:val="000000"/>
          <w:sz w:val="22"/>
        </w:rPr>
        <w:t>A diferencia de las normas del Manual Esfera, est</w:t>
      </w:r>
      <w:r w:rsidR="00F813FD">
        <w:rPr>
          <w:rFonts w:ascii="Open Sans" w:hAnsi="Open Sans"/>
          <w:color w:val="000000"/>
          <w:sz w:val="22"/>
        </w:rPr>
        <w:t xml:space="preserve">a norma no está basada </w:t>
      </w:r>
      <w:r>
        <w:rPr>
          <w:rFonts w:ascii="Open Sans" w:hAnsi="Open Sans"/>
          <w:color w:val="000000"/>
          <w:sz w:val="22"/>
        </w:rPr>
        <w:t xml:space="preserve">en derechos humanos. Se ha elegido porque es fácil de comprender, y porque es fácil </w:t>
      </w:r>
      <w:r w:rsidR="002D5A03">
        <w:rPr>
          <w:rFonts w:ascii="Open Sans" w:hAnsi="Open Sans"/>
          <w:color w:val="000000"/>
          <w:sz w:val="22"/>
        </w:rPr>
        <w:t xml:space="preserve">de </w:t>
      </w:r>
      <w:r>
        <w:rPr>
          <w:rFonts w:ascii="Open Sans" w:hAnsi="Open Sans"/>
          <w:color w:val="000000"/>
          <w:sz w:val="22"/>
        </w:rPr>
        <w:t xml:space="preserve">representar una amplia gama de contextos. </w:t>
      </w:r>
    </w:p>
    <w:p w14:paraId="3F2C1297" w14:textId="1B5BE1DE" w:rsidR="001D6656" w:rsidRDefault="00C05A75" w:rsidP="001D6656">
      <w:pPr>
        <w:pStyle w:val="CommentText"/>
        <w:spacing w:beforeLines="80" w:before="192" w:afterLines="80" w:after="192"/>
        <w:rPr>
          <w:rFonts w:ascii="Open Sans" w:eastAsia="Times New Roman" w:hAnsi="Open Sans" w:cs="Open Sans"/>
          <w:color w:val="000000"/>
          <w:sz w:val="22"/>
          <w:szCs w:val="22"/>
        </w:rPr>
      </w:pPr>
      <w:r>
        <w:rPr>
          <w:noProof/>
        </w:rPr>
        <w:drawing>
          <wp:anchor distT="0" distB="0" distL="114300" distR="114300" simplePos="0" relativeHeight="251668480" behindDoc="0" locked="0" layoutInCell="1" allowOverlap="1" wp14:anchorId="2D8A2B2B" wp14:editId="4A316B06">
            <wp:simplePos x="0" y="0"/>
            <wp:positionH relativeFrom="margin">
              <wp:posOffset>0</wp:posOffset>
            </wp:positionH>
            <wp:positionV relativeFrom="paragraph">
              <wp:posOffset>32081</wp:posOffset>
            </wp:positionV>
            <wp:extent cx="1369695" cy="1016635"/>
            <wp:effectExtent l="0" t="0" r="1905" b="0"/>
            <wp:wrapSquare wrapText="bothSides"/>
            <wp:docPr id="11" name="Picture 11" descr="A picture containing text,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text, screenshot&#10;&#10;Description automatically generated"/>
                    <pic:cNvPicPr/>
                  </pic:nvPicPr>
                  <pic:blipFill rotWithShape="1">
                    <a:blip r:embed="rId11">
                      <a:extLst>
                        <a:ext uri="{28A0092B-C50C-407E-A947-70E740481C1C}">
                          <a14:useLocalDpi xmlns:a14="http://schemas.microsoft.com/office/drawing/2010/main" val="0"/>
                        </a:ext>
                      </a:extLst>
                    </a:blip>
                    <a:srcRect l="74625"/>
                    <a:stretch/>
                  </pic:blipFill>
                  <pic:spPr bwMode="auto">
                    <a:xfrm>
                      <a:off x="0" y="0"/>
                      <a:ext cx="1369695" cy="10166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041BA">
        <w:rPr>
          <w:rFonts w:ascii="Open Sans" w:hAnsi="Open Sans"/>
          <w:color w:val="000000"/>
          <w:sz w:val="22"/>
        </w:rPr>
        <w:t xml:space="preserve">El indicador de objetivo, </w:t>
      </w:r>
      <w:r w:rsidR="00A041BA">
        <w:rPr>
          <w:rFonts w:ascii="Open Sans" w:hAnsi="Open Sans"/>
          <w:i/>
          <w:color w:val="000000"/>
          <w:sz w:val="22"/>
        </w:rPr>
        <w:t>Número de cajas: 1 por persona</w:t>
      </w:r>
      <w:r w:rsidR="00A041BA">
        <w:rPr>
          <w:rFonts w:ascii="Open Sans" w:hAnsi="Open Sans"/>
          <w:color w:val="000000"/>
          <w:sz w:val="22"/>
        </w:rPr>
        <w:t xml:space="preserve">, no es necesariamente un </w:t>
      </w:r>
      <w:r w:rsidR="00A041BA">
        <w:rPr>
          <w:rFonts w:ascii="Open Sans" w:hAnsi="Open Sans"/>
          <w:i/>
          <w:color w:val="000000"/>
          <w:sz w:val="22"/>
        </w:rPr>
        <w:t>buen</w:t>
      </w:r>
      <w:r w:rsidR="00A041BA">
        <w:rPr>
          <w:rFonts w:ascii="Open Sans" w:hAnsi="Open Sans"/>
          <w:color w:val="000000"/>
          <w:sz w:val="22"/>
        </w:rPr>
        <w:t xml:space="preserve"> indicador. Se ha elegido porque es fácil de representar, y porque en un contexto “normal”, 1 caja por persona debería poder permitir a todas las personas ver el paisaje (siempre que las cajas se distribuyan según las necesidades individuales, como se muestra).</w:t>
      </w:r>
    </w:p>
    <w:p w14:paraId="4771F1C0" w14:textId="0796DA9E" w:rsidR="007A1CCB" w:rsidRPr="007A1CCB" w:rsidRDefault="00F823C7" w:rsidP="00FD51A1">
      <w:pPr>
        <w:pStyle w:val="CommentText"/>
        <w:spacing w:beforeLines="80" w:before="192" w:afterLines="80" w:after="192"/>
        <w:rPr>
          <w:rFonts w:ascii="Open Sans" w:eastAsia="Times New Roman" w:hAnsi="Open Sans" w:cs="Open Sans"/>
          <w:color w:val="000000"/>
          <w:sz w:val="22"/>
          <w:szCs w:val="22"/>
        </w:rPr>
      </w:pPr>
      <w:r>
        <w:rPr>
          <w:rFonts w:ascii="Open Sans" w:hAnsi="Open Sans"/>
          <w:color w:val="000000"/>
          <w:sz w:val="22"/>
        </w:rPr>
        <w:t xml:space="preserve">La actividad de reflexión posterior (ver </w:t>
      </w:r>
      <w:hyperlink w:anchor="Debrief" w:history="1">
        <w:r>
          <w:rPr>
            <w:rStyle w:val="Hyperlink"/>
            <w:rFonts w:ascii="Open Sans" w:hAnsi="Open Sans"/>
            <w:sz w:val="22"/>
          </w:rPr>
          <w:t>abajo</w:t>
        </w:r>
      </w:hyperlink>
      <w:r>
        <w:rPr>
          <w:rFonts w:ascii="Open Sans" w:hAnsi="Open Sans"/>
          <w:color w:val="000000"/>
          <w:sz w:val="22"/>
        </w:rPr>
        <w:t xml:space="preserve">) debería incluir un debate acerca del contexto (incluido el hecho de que no hay tal cosa como un contexto “normal”); y podría incluir debates sobre la idoneidad de este indicador y/o qué otros indicadores serían adecuados para esta norma. </w:t>
      </w:r>
    </w:p>
    <w:p w14:paraId="39A87221" w14:textId="03793826" w:rsidR="002E2543" w:rsidRPr="00A20E4D" w:rsidRDefault="002E2543" w:rsidP="001D6656">
      <w:pPr>
        <w:pStyle w:val="NormalWeb"/>
        <w:spacing w:beforeLines="80" w:before="192" w:beforeAutospacing="0" w:afterLines="80" w:after="192" w:afterAutospacing="0"/>
        <w:rPr>
          <w:rFonts w:ascii="Open Sans" w:hAnsi="Open Sans" w:cs="Open Sans"/>
          <w:sz w:val="22"/>
          <w:szCs w:val="22"/>
        </w:rPr>
      </w:pPr>
      <w:r>
        <w:rPr>
          <w:rFonts w:ascii="Open Sans" w:hAnsi="Open Sans"/>
          <w:color w:val="000000"/>
          <w:sz w:val="22"/>
        </w:rPr>
        <w:t xml:space="preserve">La guía de actividades incluida abajo es solo una sugerencia. Siéntase con libertad de usar las viñetas de otras formas, y no dude en compartir sus ideas con nosotros en </w:t>
      </w:r>
      <w:hyperlink r:id="rId16" w:history="1">
        <w:r>
          <w:rPr>
            <w:rStyle w:val="Hyperlink"/>
            <w:rFonts w:ascii="Open Sans" w:hAnsi="Open Sans"/>
            <w:sz w:val="22"/>
          </w:rPr>
          <w:t>learning@spherestandards.org</w:t>
        </w:r>
      </w:hyperlink>
      <w:r>
        <w:rPr>
          <w:rFonts w:ascii="Open Sans" w:hAnsi="Open Sans"/>
          <w:color w:val="000000"/>
          <w:sz w:val="22"/>
        </w:rPr>
        <w:t>.</w:t>
      </w:r>
    </w:p>
    <w:p w14:paraId="12BF02F5" w14:textId="77777777" w:rsidR="00C278F2" w:rsidRPr="00BA6F33" w:rsidRDefault="00C278F2" w:rsidP="00B31B77">
      <w:pPr>
        <w:rPr>
          <w:rFonts w:ascii="Open Sans" w:hAnsi="Open Sans" w:cs="Open Sans"/>
          <w:sz w:val="23"/>
          <w:szCs w:val="23"/>
        </w:rPr>
      </w:pPr>
    </w:p>
    <w:p w14:paraId="3D731572" w14:textId="63BB253F" w:rsidR="00B31B77" w:rsidRPr="004E35C4" w:rsidRDefault="001D6656" w:rsidP="00B31B77">
      <w:pPr>
        <w:pStyle w:val="Heading2"/>
        <w:spacing w:before="80" w:after="80"/>
        <w:rPr>
          <w:rFonts w:ascii="Open Sans" w:hAnsi="Open Sans" w:cs="Open Sans"/>
          <w:color w:val="00A885"/>
          <w:sz w:val="23"/>
          <w:szCs w:val="23"/>
        </w:rPr>
      </w:pPr>
      <w:r>
        <w:rPr>
          <w:rFonts w:ascii="Open Sans" w:hAnsi="Open Sans"/>
          <w:b/>
          <w:color w:val="00A885"/>
          <w:sz w:val="23"/>
        </w:rPr>
        <w:t>Guía de actividades</w:t>
      </w:r>
    </w:p>
    <w:p w14:paraId="030A89F7" w14:textId="77777777" w:rsidR="00B31B77" w:rsidRPr="004E35C4" w:rsidRDefault="00B31B77" w:rsidP="00B31B77">
      <w:pPr>
        <w:pStyle w:val="NormalWeb"/>
        <w:numPr>
          <w:ilvl w:val="0"/>
          <w:numId w:val="7"/>
        </w:numPr>
        <w:spacing w:before="80" w:beforeAutospacing="0" w:after="80" w:afterAutospacing="0"/>
        <w:ind w:left="360"/>
        <w:textAlignment w:val="baseline"/>
        <w:rPr>
          <w:rFonts w:ascii="Open Sans" w:hAnsi="Open Sans" w:cs="Open Sans"/>
          <w:color w:val="000000"/>
          <w:sz w:val="23"/>
          <w:szCs w:val="23"/>
        </w:rPr>
      </w:pPr>
      <w:r>
        <w:rPr>
          <w:rFonts w:ascii="Open Sans" w:hAnsi="Open Sans"/>
          <w:color w:val="000000"/>
          <w:sz w:val="23"/>
        </w:rPr>
        <w:t xml:space="preserve">Dividir a participantes en grupos y asignar varias imágenes a cada grupo. </w:t>
      </w:r>
    </w:p>
    <w:p w14:paraId="465B6A26" w14:textId="77777777" w:rsidR="00B31B77" w:rsidRPr="004E35C4" w:rsidRDefault="00B31B77" w:rsidP="002B1A2B">
      <w:pPr>
        <w:pStyle w:val="NormalWeb"/>
        <w:spacing w:before="80" w:beforeAutospacing="0" w:after="80" w:afterAutospacing="0"/>
        <w:ind w:left="360"/>
        <w:textAlignment w:val="baseline"/>
        <w:rPr>
          <w:rFonts w:ascii="Open Sans" w:hAnsi="Open Sans" w:cs="Open Sans"/>
          <w:color w:val="000000"/>
          <w:sz w:val="23"/>
          <w:szCs w:val="23"/>
        </w:rPr>
      </w:pPr>
      <w:r>
        <w:rPr>
          <w:rFonts w:ascii="Open Sans" w:hAnsi="Open Sans"/>
          <w:color w:val="000000"/>
          <w:sz w:val="23"/>
        </w:rPr>
        <w:t xml:space="preserve">Las imágenes pueden ser asignadas de forma aleatoria o pueden ser agrupadas manualmente. </w:t>
      </w:r>
    </w:p>
    <w:p w14:paraId="3C040E19" w14:textId="082A0F78" w:rsidR="00B31B77" w:rsidRPr="004E35C4" w:rsidRDefault="00B31B77" w:rsidP="002B1A2B">
      <w:pPr>
        <w:pStyle w:val="NormalWeb"/>
        <w:numPr>
          <w:ilvl w:val="0"/>
          <w:numId w:val="7"/>
        </w:numPr>
        <w:spacing w:before="80" w:beforeAutospacing="0" w:after="80" w:afterAutospacing="0"/>
        <w:ind w:left="360"/>
        <w:textAlignment w:val="baseline"/>
        <w:rPr>
          <w:rFonts w:ascii="Open Sans" w:hAnsi="Open Sans" w:cs="Open Sans"/>
          <w:color w:val="000000"/>
          <w:sz w:val="23"/>
          <w:szCs w:val="23"/>
        </w:rPr>
      </w:pPr>
      <w:r>
        <w:rPr>
          <w:rFonts w:ascii="Open Sans" w:hAnsi="Open Sans"/>
          <w:color w:val="000000"/>
          <w:sz w:val="23"/>
        </w:rPr>
        <w:t xml:space="preserve">Inicialmente, pida a los grupos que sencillamente hablen sobre lo que está pasando en sus imágenes. </w:t>
      </w:r>
    </w:p>
    <w:p w14:paraId="029D9AD8" w14:textId="184B4853" w:rsidR="00B31B77" w:rsidRDefault="00B31B77" w:rsidP="002B1A2B">
      <w:pPr>
        <w:pStyle w:val="NormalWeb"/>
        <w:spacing w:before="80" w:beforeAutospacing="0" w:after="80" w:afterAutospacing="0"/>
        <w:ind w:left="360"/>
        <w:textAlignment w:val="baseline"/>
        <w:rPr>
          <w:rFonts w:ascii="Open Sans" w:hAnsi="Open Sans"/>
          <w:color w:val="000000"/>
          <w:sz w:val="23"/>
        </w:rPr>
      </w:pPr>
      <w:r>
        <w:rPr>
          <w:rFonts w:ascii="Open Sans" w:hAnsi="Open Sans"/>
          <w:color w:val="000000"/>
          <w:sz w:val="23"/>
        </w:rPr>
        <w:t>Esta es una discusión sobre contexto. Algunas asunciones pueden hacerse acerca de esta información visual, pero existen muchos otros factores contextuales que no pueden conocerse. Por ejemplo, ¿qué está pasando fuera de los márgenes de cada imagen?</w:t>
      </w:r>
    </w:p>
    <w:p w14:paraId="1B226901" w14:textId="1222FE78" w:rsidR="00E11C5E" w:rsidRDefault="00E11C5E">
      <w:pPr>
        <w:spacing w:after="160" w:line="259" w:lineRule="auto"/>
        <w:rPr>
          <w:rFonts w:ascii="Open Sans" w:eastAsia="Times New Roman" w:hAnsi="Open Sans" w:cs="Times New Roman"/>
          <w:color w:val="000000"/>
          <w:sz w:val="23"/>
          <w:szCs w:val="24"/>
        </w:rPr>
      </w:pPr>
      <w:r>
        <w:rPr>
          <w:rFonts w:ascii="Open Sans" w:hAnsi="Open Sans"/>
          <w:color w:val="000000"/>
          <w:sz w:val="23"/>
        </w:rPr>
        <w:br w:type="page"/>
      </w:r>
    </w:p>
    <w:p w14:paraId="734A0810" w14:textId="2172F210" w:rsidR="00B31B77" w:rsidRPr="004E35C4" w:rsidRDefault="00B31B77" w:rsidP="002B1A2B">
      <w:pPr>
        <w:pStyle w:val="NormalWeb"/>
        <w:numPr>
          <w:ilvl w:val="0"/>
          <w:numId w:val="7"/>
        </w:numPr>
        <w:spacing w:before="80" w:beforeAutospacing="0" w:after="80" w:afterAutospacing="0"/>
        <w:ind w:left="360"/>
        <w:textAlignment w:val="baseline"/>
        <w:rPr>
          <w:rFonts w:ascii="Open Sans" w:hAnsi="Open Sans" w:cs="Open Sans"/>
          <w:color w:val="000000"/>
          <w:sz w:val="23"/>
          <w:szCs w:val="23"/>
        </w:rPr>
      </w:pPr>
      <w:r>
        <w:rPr>
          <w:rFonts w:ascii="Open Sans" w:hAnsi="Open Sans"/>
          <w:color w:val="000000"/>
          <w:sz w:val="23"/>
        </w:rPr>
        <w:lastRenderedPageBreak/>
        <w:t>A continuación, comparta la siguiente información con los participantes…</w:t>
      </w:r>
    </w:p>
    <w:p w14:paraId="7A244579" w14:textId="77777777" w:rsidR="00B31B77" w:rsidRPr="00BA6F33" w:rsidRDefault="00B31B77" w:rsidP="00B31B77">
      <w:pPr>
        <w:rPr>
          <w:rFonts w:ascii="Open Sans" w:hAnsi="Open Sans" w:cs="Open Sans"/>
          <w:sz w:val="23"/>
          <w:szCs w:val="23"/>
        </w:rPr>
      </w:pPr>
    </w:p>
    <w:tbl>
      <w:tblPr>
        <w:tblW w:w="0" w:type="auto"/>
        <w:tblInd w:w="355" w:type="dxa"/>
        <w:tblCellMar>
          <w:top w:w="15" w:type="dxa"/>
          <w:left w:w="15" w:type="dxa"/>
          <w:bottom w:w="15" w:type="dxa"/>
          <w:right w:w="15" w:type="dxa"/>
        </w:tblCellMar>
        <w:tblLook w:val="04A0" w:firstRow="1" w:lastRow="0" w:firstColumn="1" w:lastColumn="0" w:noHBand="0" w:noVBand="1"/>
      </w:tblPr>
      <w:tblGrid>
        <w:gridCol w:w="8195"/>
      </w:tblGrid>
      <w:tr w:rsidR="00B31B77" w:rsidRPr="004E35C4" w14:paraId="05064C0B" w14:textId="77777777" w:rsidTr="00D5017D">
        <w:trPr>
          <w:trHeight w:val="1098"/>
        </w:trPr>
        <w:tc>
          <w:tcPr>
            <w:tcW w:w="8195" w:type="dxa"/>
            <w:tcBorders>
              <w:top w:val="single" w:sz="12" w:space="0" w:color="00A885"/>
              <w:bottom w:val="single" w:sz="12" w:space="0" w:color="00A885"/>
            </w:tcBorders>
            <w:shd w:val="clear" w:color="auto" w:fill="E7FFFA"/>
            <w:tcMar>
              <w:top w:w="0" w:type="dxa"/>
              <w:left w:w="108" w:type="dxa"/>
              <w:bottom w:w="0" w:type="dxa"/>
              <w:right w:w="108" w:type="dxa"/>
            </w:tcMar>
            <w:hideMark/>
          </w:tcPr>
          <w:p w14:paraId="2CB832A6" w14:textId="7106E638" w:rsidR="001B4956" w:rsidRPr="004E35C4" w:rsidRDefault="00B31B77" w:rsidP="00D5017D">
            <w:pPr>
              <w:pStyle w:val="NormalWeb"/>
              <w:spacing w:before="160" w:beforeAutospacing="0" w:after="80" w:afterAutospacing="0"/>
              <w:ind w:left="161"/>
              <w:rPr>
                <w:rFonts w:ascii="Open Sans Semibold" w:hAnsi="Open Sans Semibold" w:cs="Open Sans Semibold"/>
                <w:color w:val="00A885"/>
                <w:sz w:val="23"/>
                <w:szCs w:val="23"/>
              </w:rPr>
            </w:pPr>
            <w:r>
              <w:rPr>
                <w:rFonts w:ascii="Open Sans Semibold" w:hAnsi="Open Sans Semibold"/>
                <w:color w:val="00A885"/>
                <w:sz w:val="23"/>
              </w:rPr>
              <w:t>Norma:</w:t>
            </w:r>
          </w:p>
          <w:p w14:paraId="599A06DE" w14:textId="33FF06C7" w:rsidR="00B31B77" w:rsidRPr="004E35C4" w:rsidRDefault="00B31B77" w:rsidP="00D5017D">
            <w:pPr>
              <w:pStyle w:val="NormalWeb"/>
              <w:spacing w:before="80" w:beforeAutospacing="0" w:after="80" w:afterAutospacing="0"/>
              <w:ind w:left="161"/>
              <w:rPr>
                <w:rFonts w:ascii="Open Sans" w:hAnsi="Open Sans" w:cs="Open Sans"/>
                <w:sz w:val="23"/>
                <w:szCs w:val="23"/>
              </w:rPr>
            </w:pPr>
            <w:r>
              <w:rPr>
                <w:rFonts w:ascii="Open Sans" w:hAnsi="Open Sans"/>
                <w:sz w:val="23"/>
              </w:rPr>
              <w:t xml:space="preserve">Las personas pueden ver el bello paisaje de forma segura </w:t>
            </w:r>
          </w:p>
        </w:tc>
      </w:tr>
      <w:tr w:rsidR="000D6A5C" w:rsidRPr="004E35C4" w14:paraId="3DE08910" w14:textId="77777777" w:rsidTr="00D5017D">
        <w:trPr>
          <w:trHeight w:val="1473"/>
        </w:trPr>
        <w:tc>
          <w:tcPr>
            <w:tcW w:w="8195" w:type="dxa"/>
            <w:tcBorders>
              <w:top w:val="single" w:sz="12" w:space="0" w:color="00A885"/>
            </w:tcBorders>
            <w:tcMar>
              <w:top w:w="0" w:type="dxa"/>
              <w:left w:w="108" w:type="dxa"/>
              <w:bottom w:w="0" w:type="dxa"/>
              <w:right w:w="108" w:type="dxa"/>
            </w:tcMar>
          </w:tcPr>
          <w:p w14:paraId="7EAA5037" w14:textId="263A96F0" w:rsidR="000D6A5C" w:rsidRPr="004E35C4" w:rsidRDefault="000D6A5C" w:rsidP="00D5017D">
            <w:pPr>
              <w:pStyle w:val="NormalWeb"/>
              <w:spacing w:before="160" w:beforeAutospacing="0" w:after="80" w:afterAutospacing="0"/>
              <w:ind w:left="161"/>
              <w:rPr>
                <w:rFonts w:ascii="Open Sans Semibold" w:hAnsi="Open Sans Semibold" w:cs="Open Sans Semibold"/>
                <w:color w:val="00A885"/>
                <w:sz w:val="23"/>
                <w:szCs w:val="23"/>
              </w:rPr>
            </w:pPr>
            <w:r>
              <w:rPr>
                <w:rFonts w:ascii="Open Sans Semibold" w:hAnsi="Open Sans Semibold"/>
                <w:color w:val="00A885"/>
                <w:sz w:val="23"/>
              </w:rPr>
              <w:t>Indicadores clave</w:t>
            </w:r>
          </w:p>
          <w:p w14:paraId="66D44A22" w14:textId="30BD2B23" w:rsidR="000D6A5C" w:rsidRPr="004E35C4" w:rsidRDefault="000D6A5C" w:rsidP="00D5017D">
            <w:pPr>
              <w:pStyle w:val="NormalWeb"/>
              <w:spacing w:before="80" w:beforeAutospacing="0" w:after="80" w:afterAutospacing="0"/>
              <w:ind w:left="161"/>
              <w:rPr>
                <w:rFonts w:ascii="Open Sans" w:hAnsi="Open Sans" w:cs="Open Sans"/>
                <w:b/>
                <w:bCs/>
                <w:sz w:val="23"/>
                <w:szCs w:val="23"/>
              </w:rPr>
            </w:pPr>
            <w:r>
              <w:rPr>
                <w:rFonts w:ascii="Open Sans" w:hAnsi="Open Sans"/>
                <w:b/>
                <w:sz w:val="23"/>
              </w:rPr>
              <w:t>Número de cajas</w:t>
            </w:r>
          </w:p>
          <w:p w14:paraId="2E0CD8A9" w14:textId="415F6BCC" w:rsidR="000D6A5C" w:rsidRPr="004E35C4" w:rsidRDefault="000D6A5C" w:rsidP="00D5017D">
            <w:pPr>
              <w:pStyle w:val="NormalWeb"/>
              <w:numPr>
                <w:ilvl w:val="0"/>
                <w:numId w:val="26"/>
              </w:numPr>
              <w:spacing w:before="80" w:beforeAutospacing="0" w:after="80" w:afterAutospacing="0"/>
              <w:rPr>
                <w:rFonts w:ascii="Open Sans Semibold" w:hAnsi="Open Sans Semibold" w:cs="Open Sans Semibold"/>
                <w:color w:val="00A885"/>
                <w:sz w:val="23"/>
                <w:szCs w:val="23"/>
              </w:rPr>
            </w:pPr>
            <w:r>
              <w:rPr>
                <w:rFonts w:ascii="Open Sans" w:hAnsi="Open Sans"/>
                <w:sz w:val="23"/>
              </w:rPr>
              <w:t>1 por persona</w:t>
            </w:r>
          </w:p>
        </w:tc>
      </w:tr>
    </w:tbl>
    <w:p w14:paraId="5D9FE9DB" w14:textId="77777777" w:rsidR="00B31B77" w:rsidRPr="004E35C4" w:rsidRDefault="00B31B77" w:rsidP="00B31B77">
      <w:pPr>
        <w:rPr>
          <w:rFonts w:ascii="Open Sans" w:hAnsi="Open Sans" w:cs="Open Sans"/>
          <w:sz w:val="23"/>
          <w:szCs w:val="23"/>
          <w:lang w:val="en-GB"/>
        </w:rPr>
      </w:pPr>
    </w:p>
    <w:p w14:paraId="5ADB68AC" w14:textId="5EA322F0" w:rsidR="00B31B77" w:rsidRPr="004E35C4" w:rsidRDefault="0040078F" w:rsidP="00B31B77">
      <w:pPr>
        <w:pStyle w:val="NormalWeb"/>
        <w:spacing w:before="80" w:beforeAutospacing="0" w:after="80" w:afterAutospacing="0"/>
        <w:ind w:left="360"/>
        <w:rPr>
          <w:rFonts w:ascii="Open Sans" w:hAnsi="Open Sans" w:cs="Open Sans"/>
          <w:sz w:val="23"/>
          <w:szCs w:val="23"/>
        </w:rPr>
      </w:pPr>
      <w:r>
        <w:rPr>
          <w:rFonts w:ascii="Open Sans" w:hAnsi="Open Sans"/>
          <w:color w:val="000000"/>
          <w:sz w:val="23"/>
        </w:rPr>
        <w:t>…y pregúnteles que contesten a las siguientes preguntas (por cada imagen):</w:t>
      </w:r>
    </w:p>
    <w:p w14:paraId="2E4B80D4" w14:textId="77777777" w:rsidR="00B31B77" w:rsidRPr="004E35C4" w:rsidRDefault="00B31B77" w:rsidP="00254791">
      <w:pPr>
        <w:pStyle w:val="NormalWeb"/>
        <w:numPr>
          <w:ilvl w:val="0"/>
          <w:numId w:val="10"/>
        </w:numPr>
        <w:spacing w:before="80" w:beforeAutospacing="0" w:after="0" w:afterAutospacing="0"/>
        <w:ind w:left="720" w:hanging="270"/>
        <w:textAlignment w:val="baseline"/>
        <w:rPr>
          <w:rFonts w:ascii="Open Sans" w:hAnsi="Open Sans" w:cs="Open Sans"/>
          <w:color w:val="000000"/>
          <w:sz w:val="23"/>
          <w:szCs w:val="23"/>
        </w:rPr>
      </w:pPr>
      <w:r>
        <w:rPr>
          <w:rFonts w:ascii="Open Sans" w:hAnsi="Open Sans"/>
          <w:color w:val="000000"/>
          <w:sz w:val="23"/>
        </w:rPr>
        <w:t>¿Se está cumpliendo la Norma? (Sí/No/Quizás)</w:t>
      </w:r>
    </w:p>
    <w:p w14:paraId="2199FF89" w14:textId="7AD05C8C" w:rsidR="00B31B77" w:rsidRPr="004E35C4" w:rsidRDefault="00B31B77" w:rsidP="00254791">
      <w:pPr>
        <w:pStyle w:val="NormalWeb"/>
        <w:spacing w:before="0" w:beforeAutospacing="0" w:after="0" w:afterAutospacing="0"/>
        <w:ind w:left="720"/>
        <w:rPr>
          <w:rFonts w:ascii="Open Sans" w:hAnsi="Open Sans" w:cs="Open Sans"/>
          <w:sz w:val="23"/>
          <w:szCs w:val="23"/>
        </w:rPr>
      </w:pPr>
      <w:r>
        <w:rPr>
          <w:rFonts w:ascii="Open Sans" w:hAnsi="Open Sans"/>
          <w:color w:val="000000"/>
          <w:sz w:val="23"/>
        </w:rPr>
        <w:t xml:space="preserve">Debe ser obvio si las personas pueden ver el paisaje o no, pero su </w:t>
      </w:r>
      <w:r>
        <w:rPr>
          <w:rFonts w:ascii="Open Sans" w:hAnsi="Open Sans"/>
          <w:i/>
          <w:color w:val="000000"/>
          <w:sz w:val="23"/>
        </w:rPr>
        <w:t>seguridad</w:t>
      </w:r>
      <w:r>
        <w:rPr>
          <w:rFonts w:ascii="Open Sans" w:hAnsi="Open Sans"/>
          <w:color w:val="000000"/>
          <w:sz w:val="23"/>
        </w:rPr>
        <w:t xml:space="preserve"> puede estar menos clara. </w:t>
      </w:r>
    </w:p>
    <w:p w14:paraId="2BECFF4A" w14:textId="77777777" w:rsidR="00B31B77" w:rsidRPr="004E35C4" w:rsidRDefault="00B31B77" w:rsidP="00254791">
      <w:pPr>
        <w:pStyle w:val="NormalWeb"/>
        <w:numPr>
          <w:ilvl w:val="0"/>
          <w:numId w:val="11"/>
        </w:numPr>
        <w:spacing w:before="0" w:beforeAutospacing="0" w:after="0" w:afterAutospacing="0"/>
        <w:ind w:hanging="270"/>
        <w:textAlignment w:val="baseline"/>
        <w:rPr>
          <w:rFonts w:ascii="Open Sans" w:hAnsi="Open Sans" w:cs="Open Sans"/>
          <w:color w:val="000000"/>
          <w:sz w:val="23"/>
          <w:szCs w:val="23"/>
        </w:rPr>
      </w:pPr>
      <w:r>
        <w:rPr>
          <w:rFonts w:ascii="Open Sans" w:hAnsi="Open Sans"/>
          <w:color w:val="000000"/>
          <w:sz w:val="23"/>
        </w:rPr>
        <w:t>¿Qué está "leyendo" el indicador, es decir, el número de cajas? (0, 1, 2, etc.)</w:t>
      </w:r>
    </w:p>
    <w:p w14:paraId="3E0A8F87" w14:textId="77777777" w:rsidR="00B31B77" w:rsidRPr="004E35C4" w:rsidRDefault="00B31B77" w:rsidP="00254791">
      <w:pPr>
        <w:pStyle w:val="NormalWeb"/>
        <w:numPr>
          <w:ilvl w:val="0"/>
          <w:numId w:val="12"/>
        </w:numPr>
        <w:spacing w:before="0" w:beforeAutospacing="0" w:after="0" w:afterAutospacing="0"/>
        <w:ind w:left="720" w:hanging="270"/>
        <w:textAlignment w:val="baseline"/>
        <w:rPr>
          <w:rFonts w:ascii="Open Sans" w:hAnsi="Open Sans" w:cs="Open Sans"/>
          <w:color w:val="000000"/>
          <w:sz w:val="23"/>
          <w:szCs w:val="23"/>
        </w:rPr>
      </w:pPr>
      <w:r>
        <w:rPr>
          <w:rFonts w:ascii="Open Sans" w:hAnsi="Open Sans"/>
          <w:color w:val="000000"/>
          <w:sz w:val="23"/>
        </w:rPr>
        <w:t>¿Se está cumpliendo el objetivo? (Sí/No/Quizás)</w:t>
      </w:r>
    </w:p>
    <w:p w14:paraId="3630F91F" w14:textId="77777777" w:rsidR="00B31B77" w:rsidRPr="004E35C4" w:rsidRDefault="00B31B77" w:rsidP="00254791">
      <w:pPr>
        <w:pStyle w:val="NormalWeb"/>
        <w:numPr>
          <w:ilvl w:val="0"/>
          <w:numId w:val="13"/>
        </w:numPr>
        <w:spacing w:before="0" w:beforeAutospacing="0" w:after="0" w:afterAutospacing="0"/>
        <w:ind w:left="720" w:hanging="270"/>
        <w:textAlignment w:val="baseline"/>
        <w:rPr>
          <w:rFonts w:ascii="Open Sans" w:hAnsi="Open Sans" w:cs="Open Sans"/>
          <w:color w:val="000000"/>
          <w:sz w:val="23"/>
          <w:szCs w:val="23"/>
        </w:rPr>
      </w:pPr>
      <w:r>
        <w:rPr>
          <w:rFonts w:ascii="Open Sans" w:hAnsi="Open Sans"/>
          <w:color w:val="000000"/>
          <w:sz w:val="23"/>
        </w:rPr>
        <w:t>¿El objetivo es apropiado para la situación/el contexto? (Sí/No/Quizás)</w:t>
      </w:r>
    </w:p>
    <w:p w14:paraId="0FD1F441" w14:textId="56EAE500" w:rsidR="00B31B77" w:rsidRPr="004E35C4" w:rsidRDefault="00B31B77" w:rsidP="00254791">
      <w:pPr>
        <w:pStyle w:val="NormalWeb"/>
        <w:numPr>
          <w:ilvl w:val="0"/>
          <w:numId w:val="14"/>
        </w:numPr>
        <w:spacing w:before="0" w:beforeAutospacing="0" w:after="80" w:afterAutospacing="0"/>
        <w:ind w:left="720" w:hanging="270"/>
        <w:textAlignment w:val="baseline"/>
        <w:rPr>
          <w:rFonts w:ascii="Open Sans" w:hAnsi="Open Sans" w:cs="Open Sans"/>
          <w:color w:val="000000"/>
          <w:sz w:val="23"/>
          <w:szCs w:val="23"/>
        </w:rPr>
      </w:pPr>
      <w:r>
        <w:rPr>
          <w:rFonts w:ascii="Open Sans" w:hAnsi="Open Sans"/>
          <w:color w:val="000000"/>
          <w:sz w:val="23"/>
        </w:rPr>
        <w:t xml:space="preserve">¿Qué acciones podrían llevarle a cumplir la </w:t>
      </w:r>
      <w:r>
        <w:rPr>
          <w:rFonts w:ascii="Open Sans" w:hAnsi="Open Sans"/>
          <w:b/>
          <w:color w:val="000000"/>
          <w:sz w:val="23"/>
        </w:rPr>
        <w:t>norma</w:t>
      </w:r>
      <w:r>
        <w:rPr>
          <w:rFonts w:ascii="Open Sans" w:hAnsi="Open Sans"/>
          <w:color w:val="000000"/>
          <w:sz w:val="23"/>
        </w:rPr>
        <w:t>?</w:t>
      </w:r>
    </w:p>
    <w:p w14:paraId="12260F6B" w14:textId="592A30C5" w:rsidR="00017C37" w:rsidRPr="00BA6F33" w:rsidRDefault="00017C37" w:rsidP="00017C37">
      <w:pPr>
        <w:pStyle w:val="NormalWeb"/>
        <w:spacing w:before="0" w:beforeAutospacing="0" w:after="80" w:afterAutospacing="0"/>
        <w:textAlignment w:val="baseline"/>
        <w:rPr>
          <w:rFonts w:ascii="Open Sans" w:hAnsi="Open Sans" w:cs="Open Sans"/>
          <w:color w:val="000000"/>
          <w:sz w:val="23"/>
          <w:szCs w:val="23"/>
        </w:rPr>
      </w:pPr>
    </w:p>
    <w:p w14:paraId="04941ADD" w14:textId="315BE951" w:rsidR="00B31B77" w:rsidRPr="004E35C4" w:rsidRDefault="00B31B77" w:rsidP="00254791">
      <w:pPr>
        <w:pStyle w:val="NormalWeb"/>
        <w:numPr>
          <w:ilvl w:val="0"/>
          <w:numId w:val="7"/>
        </w:numPr>
        <w:spacing w:before="80" w:beforeAutospacing="0" w:after="80" w:afterAutospacing="0"/>
        <w:ind w:left="360"/>
        <w:textAlignment w:val="baseline"/>
        <w:rPr>
          <w:rFonts w:ascii="Open Sans" w:hAnsi="Open Sans" w:cs="Open Sans"/>
          <w:color w:val="000000"/>
          <w:sz w:val="23"/>
          <w:szCs w:val="23"/>
        </w:rPr>
      </w:pPr>
      <w:bookmarkStart w:id="0" w:name="Debrief"/>
      <w:r>
        <w:rPr>
          <w:rFonts w:ascii="Open Sans" w:hAnsi="Open Sans"/>
          <w:color w:val="000000"/>
          <w:sz w:val="23"/>
        </w:rPr>
        <w:t>Reflexión posterior en sesión plenaria</w:t>
      </w:r>
      <w:bookmarkEnd w:id="0"/>
      <w:r>
        <w:rPr>
          <w:rFonts w:ascii="Open Sans" w:hAnsi="Open Sans"/>
          <w:color w:val="000000"/>
          <w:sz w:val="23"/>
        </w:rPr>
        <w:t>.</w:t>
      </w:r>
    </w:p>
    <w:p w14:paraId="40D73B12" w14:textId="29CD0923" w:rsidR="00B31B77" w:rsidRPr="004E35C4" w:rsidRDefault="00B31B77" w:rsidP="00B31B77">
      <w:pPr>
        <w:pStyle w:val="NormalWeb"/>
        <w:spacing w:before="80" w:beforeAutospacing="0" w:after="80" w:afterAutospacing="0"/>
        <w:ind w:left="360"/>
        <w:rPr>
          <w:rFonts w:ascii="Open Sans" w:hAnsi="Open Sans" w:cs="Open Sans"/>
          <w:sz w:val="23"/>
          <w:szCs w:val="23"/>
        </w:rPr>
      </w:pPr>
      <w:r>
        <w:rPr>
          <w:rFonts w:ascii="Open Sans" w:hAnsi="Open Sans"/>
          <w:color w:val="000000"/>
          <w:sz w:val="23"/>
        </w:rPr>
        <w:t>Esta etapa requiere preparación y experiencia. Esta conversación podría tomar muchas direcciones. Las preguntas de guía podrían incluir:</w:t>
      </w:r>
    </w:p>
    <w:p w14:paraId="1C01F084" w14:textId="77777777" w:rsidR="00B31B77" w:rsidRPr="004E35C4" w:rsidRDefault="00B31B77" w:rsidP="004E35C4">
      <w:pPr>
        <w:pStyle w:val="NormalWeb"/>
        <w:numPr>
          <w:ilvl w:val="0"/>
          <w:numId w:val="16"/>
        </w:numPr>
        <w:spacing w:before="80" w:beforeAutospacing="0" w:after="0" w:afterAutospacing="0"/>
        <w:ind w:left="810" w:hanging="450"/>
        <w:textAlignment w:val="baseline"/>
        <w:rPr>
          <w:rFonts w:ascii="Open Sans" w:hAnsi="Open Sans" w:cs="Open Sans"/>
          <w:color w:val="000000"/>
          <w:sz w:val="23"/>
          <w:szCs w:val="23"/>
        </w:rPr>
      </w:pPr>
      <w:r>
        <w:rPr>
          <w:rFonts w:ascii="Open Sans" w:hAnsi="Open Sans"/>
          <w:color w:val="000000"/>
          <w:sz w:val="23"/>
        </w:rPr>
        <w:t>¿Por qué tener indicadores?</w:t>
      </w:r>
    </w:p>
    <w:p w14:paraId="1174BCAA" w14:textId="77777777" w:rsidR="00B31B77" w:rsidRPr="004E35C4" w:rsidRDefault="00B31B77" w:rsidP="004E35C4">
      <w:pPr>
        <w:pStyle w:val="NormalWeb"/>
        <w:numPr>
          <w:ilvl w:val="0"/>
          <w:numId w:val="16"/>
        </w:numPr>
        <w:spacing w:before="0" w:beforeAutospacing="0" w:after="0" w:afterAutospacing="0"/>
        <w:ind w:left="810" w:hanging="450"/>
        <w:textAlignment w:val="baseline"/>
        <w:rPr>
          <w:rFonts w:ascii="Open Sans" w:hAnsi="Open Sans" w:cs="Open Sans"/>
          <w:color w:val="000000"/>
          <w:sz w:val="23"/>
          <w:szCs w:val="23"/>
        </w:rPr>
      </w:pPr>
      <w:r>
        <w:rPr>
          <w:rFonts w:ascii="Open Sans" w:hAnsi="Open Sans"/>
          <w:color w:val="000000"/>
          <w:sz w:val="23"/>
        </w:rPr>
        <w:t>¿Por qué tener objetivos?</w:t>
      </w:r>
    </w:p>
    <w:p w14:paraId="46768EE3" w14:textId="588154AB" w:rsidR="00B31B77" w:rsidRPr="004E35C4" w:rsidRDefault="00B31B77" w:rsidP="004E35C4">
      <w:pPr>
        <w:pStyle w:val="NormalWeb"/>
        <w:numPr>
          <w:ilvl w:val="0"/>
          <w:numId w:val="16"/>
        </w:numPr>
        <w:spacing w:before="0" w:beforeAutospacing="0" w:after="0" w:afterAutospacing="0"/>
        <w:ind w:left="810" w:hanging="450"/>
        <w:textAlignment w:val="baseline"/>
        <w:rPr>
          <w:rFonts w:ascii="Open Sans" w:hAnsi="Open Sans" w:cs="Open Sans"/>
          <w:color w:val="000000"/>
          <w:sz w:val="23"/>
          <w:szCs w:val="23"/>
        </w:rPr>
      </w:pPr>
      <w:r>
        <w:rPr>
          <w:rFonts w:ascii="Open Sans" w:hAnsi="Open Sans"/>
          <w:color w:val="000000"/>
          <w:sz w:val="23"/>
        </w:rPr>
        <w:t xml:space="preserve">¿Qué otros indicadores podrían ser apropiados para medir </w:t>
      </w:r>
      <w:r w:rsidR="00BC48B9">
        <w:rPr>
          <w:rFonts w:ascii="Open Sans" w:hAnsi="Open Sans"/>
          <w:color w:val="000000"/>
          <w:sz w:val="23"/>
        </w:rPr>
        <w:t xml:space="preserve">el progreso </w:t>
      </w:r>
      <w:r>
        <w:rPr>
          <w:rFonts w:ascii="Open Sans" w:hAnsi="Open Sans"/>
          <w:color w:val="000000"/>
          <w:sz w:val="23"/>
        </w:rPr>
        <w:t>con relación a esta norma?</w:t>
      </w:r>
    </w:p>
    <w:p w14:paraId="4D547F18" w14:textId="44D6E5B9" w:rsidR="00B31B77" w:rsidRPr="004E35C4" w:rsidRDefault="00B31B77" w:rsidP="004E35C4">
      <w:pPr>
        <w:pStyle w:val="NormalWeb"/>
        <w:numPr>
          <w:ilvl w:val="0"/>
          <w:numId w:val="16"/>
        </w:numPr>
        <w:spacing w:before="0" w:beforeAutospacing="0" w:after="0" w:afterAutospacing="0"/>
        <w:ind w:left="810" w:hanging="450"/>
        <w:textAlignment w:val="baseline"/>
        <w:rPr>
          <w:rFonts w:ascii="Open Sans" w:hAnsi="Open Sans" w:cs="Open Sans"/>
          <w:color w:val="000000"/>
          <w:sz w:val="23"/>
          <w:szCs w:val="23"/>
        </w:rPr>
      </w:pPr>
      <w:r>
        <w:rPr>
          <w:rFonts w:ascii="Open Sans" w:hAnsi="Open Sans"/>
          <w:color w:val="000000"/>
          <w:sz w:val="23"/>
        </w:rPr>
        <w:t>¿Cómo pueden definirse y medirse la seguridad y la protección?</w:t>
      </w:r>
    </w:p>
    <w:p w14:paraId="3D9C9363" w14:textId="77777777" w:rsidR="00B31B77" w:rsidRPr="00BA6F33" w:rsidRDefault="00B31B77" w:rsidP="00B31B77">
      <w:pPr>
        <w:rPr>
          <w:rFonts w:ascii="Open Sans" w:hAnsi="Open Sans" w:cs="Open Sans"/>
          <w:sz w:val="23"/>
          <w:szCs w:val="23"/>
        </w:rPr>
      </w:pPr>
    </w:p>
    <w:p w14:paraId="3ACF045F" w14:textId="77777777" w:rsidR="00B31B77" w:rsidRPr="004E35C4" w:rsidRDefault="00B31B77" w:rsidP="00B31B77">
      <w:pPr>
        <w:pStyle w:val="NormalWeb"/>
        <w:spacing w:before="80" w:beforeAutospacing="0" w:after="80" w:afterAutospacing="0"/>
        <w:ind w:left="360"/>
        <w:rPr>
          <w:rFonts w:ascii="Open Sans" w:hAnsi="Open Sans" w:cs="Open Sans"/>
          <w:sz w:val="23"/>
          <w:szCs w:val="23"/>
        </w:rPr>
      </w:pPr>
      <w:r>
        <w:rPr>
          <w:rFonts w:ascii="Open Sans" w:hAnsi="Open Sans"/>
          <w:color w:val="000000"/>
          <w:sz w:val="23"/>
        </w:rPr>
        <w:t>Como parte de esta reflexión posterior, existen varias temáticas claves que deberían cubrirse:</w:t>
      </w:r>
    </w:p>
    <w:p w14:paraId="32E78E53" w14:textId="77777777" w:rsidR="00B31B77" w:rsidRPr="004E35C4" w:rsidRDefault="00B31B77" w:rsidP="0040078F">
      <w:pPr>
        <w:pStyle w:val="NormalWeb"/>
        <w:numPr>
          <w:ilvl w:val="0"/>
          <w:numId w:val="25"/>
        </w:numPr>
        <w:tabs>
          <w:tab w:val="left" w:pos="720"/>
        </w:tabs>
        <w:spacing w:before="80" w:beforeAutospacing="0" w:after="80" w:afterAutospacing="0"/>
        <w:ind w:hanging="270"/>
        <w:textAlignment w:val="baseline"/>
        <w:rPr>
          <w:rFonts w:ascii="Open Sans" w:hAnsi="Open Sans" w:cs="Open Sans"/>
          <w:color w:val="000000"/>
          <w:sz w:val="23"/>
          <w:szCs w:val="23"/>
        </w:rPr>
      </w:pPr>
      <w:r>
        <w:rPr>
          <w:rFonts w:ascii="Open Sans" w:hAnsi="Open Sans"/>
          <w:b/>
          <w:color w:val="000000"/>
          <w:sz w:val="23"/>
        </w:rPr>
        <w:t>Contexto</w:t>
      </w:r>
      <w:r>
        <w:rPr>
          <w:rFonts w:ascii="Open Sans" w:hAnsi="Open Sans"/>
          <w:color w:val="000000"/>
          <w:sz w:val="23"/>
        </w:rPr>
        <w:t xml:space="preserve">: Mientras que las normas siempre son aplicables sin alteración, los indicadores y los objetivos siempre deben considerarse en su contexto. En este conjunto de viñetas, la altura de la pared es un factor contextual que se incluye en todas las imágenes e influye sobre el objetivo. </w:t>
      </w:r>
    </w:p>
    <w:p w14:paraId="784BC983" w14:textId="2395DA2C" w:rsidR="00B31B77" w:rsidRPr="004E35C4" w:rsidRDefault="0040078F" w:rsidP="0040078F">
      <w:pPr>
        <w:pStyle w:val="NormalWeb"/>
        <w:tabs>
          <w:tab w:val="left" w:pos="720"/>
        </w:tabs>
        <w:spacing w:before="80" w:beforeAutospacing="0" w:after="80" w:afterAutospacing="0"/>
        <w:ind w:left="720" w:hanging="270"/>
        <w:textAlignment w:val="baseline"/>
        <w:rPr>
          <w:rFonts w:ascii="Open Sans" w:hAnsi="Open Sans" w:cs="Open Sans"/>
          <w:color w:val="000000"/>
          <w:sz w:val="23"/>
          <w:szCs w:val="23"/>
        </w:rPr>
      </w:pPr>
      <w:r>
        <w:rPr>
          <w:rFonts w:ascii="Open Sans" w:hAnsi="Open Sans"/>
          <w:color w:val="000000"/>
          <w:sz w:val="23"/>
        </w:rPr>
        <w:tab/>
        <w:t>¿Cuáles son los otros factores contextuales que influyen sobre los objetivos e indicadores?</w:t>
      </w:r>
    </w:p>
    <w:p w14:paraId="0E7E8BBF" w14:textId="6F6205F9" w:rsidR="00B31B77" w:rsidRPr="004E35C4" w:rsidRDefault="00B31B77" w:rsidP="0040078F">
      <w:pPr>
        <w:pStyle w:val="NormalWeb"/>
        <w:numPr>
          <w:ilvl w:val="0"/>
          <w:numId w:val="25"/>
        </w:numPr>
        <w:tabs>
          <w:tab w:val="left" w:pos="720"/>
        </w:tabs>
        <w:spacing w:before="80" w:beforeAutospacing="0" w:after="80" w:afterAutospacing="0"/>
        <w:ind w:hanging="270"/>
        <w:textAlignment w:val="baseline"/>
        <w:rPr>
          <w:rFonts w:ascii="Open Sans" w:hAnsi="Open Sans" w:cs="Open Sans"/>
          <w:color w:val="000000"/>
          <w:sz w:val="23"/>
          <w:szCs w:val="23"/>
        </w:rPr>
      </w:pPr>
      <w:r>
        <w:rPr>
          <w:rFonts w:ascii="Open Sans" w:hAnsi="Open Sans"/>
          <w:b/>
          <w:color w:val="000000"/>
          <w:sz w:val="23"/>
        </w:rPr>
        <w:t xml:space="preserve">Participación </w:t>
      </w:r>
      <w:r>
        <w:rPr>
          <w:rFonts w:ascii="Open Sans" w:hAnsi="Open Sans"/>
          <w:color w:val="000000"/>
          <w:sz w:val="23"/>
        </w:rPr>
        <w:t xml:space="preserve">(y diferentes formas de </w:t>
      </w:r>
      <w:r w:rsidR="00211567">
        <w:rPr>
          <w:rFonts w:ascii="Open Sans" w:hAnsi="Open Sans"/>
          <w:color w:val="000000"/>
          <w:sz w:val="23"/>
        </w:rPr>
        <w:t>asistencia</w:t>
      </w:r>
      <w:r>
        <w:rPr>
          <w:rFonts w:ascii="Open Sans" w:hAnsi="Open Sans"/>
          <w:color w:val="000000"/>
          <w:sz w:val="23"/>
        </w:rPr>
        <w:t xml:space="preserve">): Entregar cajas no es una acción participativa, y no resulta apropiado en muchos contextos. </w:t>
      </w:r>
    </w:p>
    <w:p w14:paraId="27C3DA42" w14:textId="541621D4" w:rsidR="00B31B77" w:rsidRPr="004E35C4" w:rsidRDefault="0040078F" w:rsidP="0040078F">
      <w:pPr>
        <w:pStyle w:val="NormalWeb"/>
        <w:tabs>
          <w:tab w:val="left" w:pos="720"/>
        </w:tabs>
        <w:spacing w:before="80" w:beforeAutospacing="0" w:after="80" w:afterAutospacing="0"/>
        <w:ind w:left="720" w:hanging="270"/>
        <w:textAlignment w:val="baseline"/>
        <w:rPr>
          <w:rFonts w:ascii="Open Sans" w:hAnsi="Open Sans" w:cs="Open Sans"/>
          <w:color w:val="000000"/>
          <w:sz w:val="23"/>
          <w:szCs w:val="23"/>
        </w:rPr>
      </w:pPr>
      <w:r>
        <w:rPr>
          <w:rFonts w:ascii="Open Sans" w:hAnsi="Open Sans"/>
          <w:color w:val="000000"/>
          <w:sz w:val="23"/>
        </w:rPr>
        <w:tab/>
        <w:t>¿En cuáles de los contextos representados podría ser más apropiado la asistencia basada en efectivo o la asistencia técnica?</w:t>
      </w:r>
    </w:p>
    <w:p w14:paraId="1F98CE7A" w14:textId="343B7D74" w:rsidR="00B31B77" w:rsidRPr="004E35C4" w:rsidRDefault="00B31B77" w:rsidP="0040078F">
      <w:pPr>
        <w:pStyle w:val="NormalWeb"/>
        <w:numPr>
          <w:ilvl w:val="0"/>
          <w:numId w:val="25"/>
        </w:numPr>
        <w:tabs>
          <w:tab w:val="left" w:pos="720"/>
        </w:tabs>
        <w:spacing w:before="80" w:beforeAutospacing="0" w:after="80" w:afterAutospacing="0"/>
        <w:ind w:hanging="270"/>
        <w:textAlignment w:val="baseline"/>
        <w:rPr>
          <w:rFonts w:ascii="Open Sans" w:hAnsi="Open Sans" w:cs="Open Sans"/>
          <w:color w:val="000000"/>
          <w:sz w:val="23"/>
          <w:szCs w:val="23"/>
        </w:rPr>
      </w:pPr>
      <w:r>
        <w:rPr>
          <w:rFonts w:ascii="Open Sans" w:hAnsi="Open Sans"/>
          <w:b/>
          <w:color w:val="000000"/>
          <w:sz w:val="23"/>
        </w:rPr>
        <w:lastRenderedPageBreak/>
        <w:t>Necesidades, capacidades y vulnerabilidades</w:t>
      </w:r>
      <w:r>
        <w:rPr>
          <w:rFonts w:ascii="Open Sans" w:hAnsi="Open Sans"/>
          <w:color w:val="000000"/>
          <w:sz w:val="23"/>
        </w:rPr>
        <w:t>: Las viñetas muestran a una persona en una silla de ruedas, a varios niños y niñas, y también parece</w:t>
      </w:r>
      <w:r w:rsidR="001A1B59">
        <w:rPr>
          <w:rFonts w:ascii="Open Sans" w:hAnsi="Open Sans"/>
          <w:color w:val="000000"/>
          <w:sz w:val="23"/>
        </w:rPr>
        <w:t>n</w:t>
      </w:r>
      <w:r>
        <w:rPr>
          <w:rFonts w:ascii="Open Sans" w:hAnsi="Open Sans"/>
          <w:color w:val="000000"/>
          <w:sz w:val="23"/>
        </w:rPr>
        <w:t xml:space="preserve"> mostrar a personas de diferentes sexos. También es necesario hablar sobre roles, necesidades, capacidades y vulnerabilidades que no pueden observarse en las imágenes, p.ej. prácticas culturales, roles de género, limitaciones sensoriales o cognitivas, etc.</w:t>
      </w:r>
    </w:p>
    <w:p w14:paraId="4435D026" w14:textId="4C2E0244" w:rsidR="00B31B77" w:rsidRPr="004E35C4" w:rsidRDefault="0040078F" w:rsidP="0040078F">
      <w:pPr>
        <w:pStyle w:val="NormalWeb"/>
        <w:tabs>
          <w:tab w:val="left" w:pos="720"/>
        </w:tabs>
        <w:spacing w:before="80" w:beforeAutospacing="0" w:after="80" w:afterAutospacing="0"/>
        <w:ind w:left="720" w:hanging="270"/>
        <w:rPr>
          <w:rFonts w:ascii="Open Sans" w:hAnsi="Open Sans" w:cs="Open Sans"/>
          <w:sz w:val="23"/>
          <w:szCs w:val="23"/>
        </w:rPr>
      </w:pPr>
      <w:r>
        <w:rPr>
          <w:rFonts w:ascii="Open Sans" w:hAnsi="Open Sans"/>
          <w:color w:val="000000"/>
          <w:sz w:val="23"/>
        </w:rPr>
        <w:tab/>
        <w:t xml:space="preserve">En un par de las imágenes parece que las personas tienen las capacidades (destrezas y herramientas) para cumplir con la norma sin necesidad de ninguna caja, aunque sus soluciones podrían presentar problemas de seguridad y protección. </w:t>
      </w:r>
    </w:p>
    <w:p w14:paraId="5F7F13A0" w14:textId="2EB62DC0" w:rsidR="00B31B77" w:rsidRPr="004E35C4" w:rsidRDefault="0040078F" w:rsidP="0040078F">
      <w:pPr>
        <w:pStyle w:val="NormalWeb"/>
        <w:tabs>
          <w:tab w:val="left" w:pos="720"/>
        </w:tabs>
        <w:spacing w:before="80" w:beforeAutospacing="0" w:after="80" w:afterAutospacing="0"/>
        <w:ind w:left="720" w:hanging="270"/>
        <w:rPr>
          <w:rFonts w:ascii="Open Sans" w:hAnsi="Open Sans" w:cs="Open Sans"/>
          <w:sz w:val="23"/>
          <w:szCs w:val="23"/>
        </w:rPr>
      </w:pPr>
      <w:r>
        <w:rPr>
          <w:rFonts w:ascii="Open Sans" w:hAnsi="Open Sans"/>
          <w:color w:val="000000"/>
          <w:sz w:val="23"/>
        </w:rPr>
        <w:tab/>
        <w:t>¿Qué otros roles, necesidades, capacidades y vulnerabilidades podrían tener?</w:t>
      </w:r>
    </w:p>
    <w:p w14:paraId="5DC22FC8" w14:textId="2FC88479" w:rsidR="003D5C0E" w:rsidRPr="00BA6F33" w:rsidRDefault="003D5C0E" w:rsidP="00B31B77">
      <w:pPr>
        <w:rPr>
          <w:rFonts w:ascii="Open Sans" w:hAnsi="Open Sans" w:cs="Open Sans"/>
          <w:sz w:val="23"/>
          <w:szCs w:val="23"/>
        </w:rPr>
      </w:pPr>
    </w:p>
    <w:p w14:paraId="202BEDA3" w14:textId="2590D18A" w:rsidR="00B24417" w:rsidRPr="00B24417" w:rsidRDefault="004D2155" w:rsidP="00B24417">
      <w:pPr>
        <w:pStyle w:val="NormalWeb"/>
        <w:numPr>
          <w:ilvl w:val="0"/>
          <w:numId w:val="7"/>
        </w:numPr>
        <w:spacing w:before="80" w:beforeAutospacing="0" w:after="80" w:afterAutospacing="0"/>
        <w:ind w:left="360"/>
        <w:textAlignment w:val="baseline"/>
        <w:rPr>
          <w:rFonts w:ascii="Open Sans" w:hAnsi="Open Sans" w:cs="Open Sans"/>
          <w:color w:val="000000"/>
          <w:sz w:val="23"/>
          <w:szCs w:val="23"/>
        </w:rPr>
      </w:pPr>
      <w:r>
        <w:rPr>
          <w:rFonts w:ascii="Open Sans" w:hAnsi="Open Sans"/>
          <w:color w:val="000000"/>
          <w:sz w:val="23"/>
        </w:rPr>
        <w:t>Repartir la hoja de documentación</w:t>
      </w:r>
      <w:r w:rsidR="00E11C5E">
        <w:rPr>
          <w:rFonts w:ascii="Open Sans" w:hAnsi="Open Sans"/>
          <w:color w:val="000000"/>
          <w:sz w:val="23"/>
        </w:rPr>
        <w:t>.</w:t>
      </w:r>
    </w:p>
    <w:sectPr w:rsidR="00B24417" w:rsidRPr="00B24417" w:rsidSect="00A36C35">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3521F" w14:textId="77777777" w:rsidR="00004FB1" w:rsidRDefault="00004FB1" w:rsidP="00492609">
      <w:r>
        <w:separator/>
      </w:r>
    </w:p>
  </w:endnote>
  <w:endnote w:type="continuationSeparator" w:id="0">
    <w:p w14:paraId="327DFAE2" w14:textId="77777777" w:rsidR="00004FB1" w:rsidRDefault="00004FB1" w:rsidP="00492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Open Sans Semibold">
    <w:panose1 w:val="020B07060308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EBFD3" w14:textId="77777777" w:rsidR="00004FB1" w:rsidRDefault="00004FB1" w:rsidP="00492609">
      <w:r>
        <w:separator/>
      </w:r>
    </w:p>
  </w:footnote>
  <w:footnote w:type="continuationSeparator" w:id="0">
    <w:p w14:paraId="6ABEF910" w14:textId="77777777" w:rsidR="00004FB1" w:rsidRDefault="00004FB1" w:rsidP="004926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5613"/>
    <w:multiLevelType w:val="multilevel"/>
    <w:tmpl w:val="D1AAE0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115315"/>
    <w:multiLevelType w:val="hybridMultilevel"/>
    <w:tmpl w:val="28FCA802"/>
    <w:lvl w:ilvl="0" w:tplc="87BE07AE">
      <w:start w:val="1"/>
      <w:numFmt w:val="bullet"/>
      <w:lvlText w:val=""/>
      <w:lvlJc w:val="left"/>
      <w:pPr>
        <w:ind w:left="720" w:hanging="360"/>
      </w:pPr>
      <w:rPr>
        <w:rFonts w:ascii="Symbol" w:hAnsi="Symbol" w:cs="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CE2CFB"/>
    <w:multiLevelType w:val="hybridMultilevel"/>
    <w:tmpl w:val="CB04F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7117D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D7741E9"/>
    <w:multiLevelType w:val="hybridMultilevel"/>
    <w:tmpl w:val="AFFE5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BB0396"/>
    <w:multiLevelType w:val="hybridMultilevel"/>
    <w:tmpl w:val="67442682"/>
    <w:lvl w:ilvl="0" w:tplc="B142B3AA">
      <w:start w:val="5"/>
      <w:numFmt w:val="lowerLetter"/>
      <w:lvlText w:val="%1."/>
      <w:lvlJc w:val="left"/>
      <w:pPr>
        <w:tabs>
          <w:tab w:val="num" w:pos="720"/>
        </w:tabs>
        <w:ind w:left="720" w:hanging="360"/>
      </w:pPr>
    </w:lvl>
    <w:lvl w:ilvl="1" w:tplc="247AC942" w:tentative="1">
      <w:start w:val="1"/>
      <w:numFmt w:val="decimal"/>
      <w:lvlText w:val="%2."/>
      <w:lvlJc w:val="left"/>
      <w:pPr>
        <w:tabs>
          <w:tab w:val="num" w:pos="1440"/>
        </w:tabs>
        <w:ind w:left="1440" w:hanging="360"/>
      </w:pPr>
    </w:lvl>
    <w:lvl w:ilvl="2" w:tplc="70B2F3DA" w:tentative="1">
      <w:start w:val="1"/>
      <w:numFmt w:val="decimal"/>
      <w:lvlText w:val="%3."/>
      <w:lvlJc w:val="left"/>
      <w:pPr>
        <w:tabs>
          <w:tab w:val="num" w:pos="2160"/>
        </w:tabs>
        <w:ind w:left="2160" w:hanging="360"/>
      </w:pPr>
    </w:lvl>
    <w:lvl w:ilvl="3" w:tplc="B4BC3A38" w:tentative="1">
      <w:start w:val="1"/>
      <w:numFmt w:val="decimal"/>
      <w:lvlText w:val="%4."/>
      <w:lvlJc w:val="left"/>
      <w:pPr>
        <w:tabs>
          <w:tab w:val="num" w:pos="2880"/>
        </w:tabs>
        <w:ind w:left="2880" w:hanging="360"/>
      </w:pPr>
    </w:lvl>
    <w:lvl w:ilvl="4" w:tplc="03FE718A" w:tentative="1">
      <w:start w:val="1"/>
      <w:numFmt w:val="decimal"/>
      <w:lvlText w:val="%5."/>
      <w:lvlJc w:val="left"/>
      <w:pPr>
        <w:tabs>
          <w:tab w:val="num" w:pos="3600"/>
        </w:tabs>
        <w:ind w:left="3600" w:hanging="360"/>
      </w:pPr>
    </w:lvl>
    <w:lvl w:ilvl="5" w:tplc="2D209216" w:tentative="1">
      <w:start w:val="1"/>
      <w:numFmt w:val="decimal"/>
      <w:lvlText w:val="%6."/>
      <w:lvlJc w:val="left"/>
      <w:pPr>
        <w:tabs>
          <w:tab w:val="num" w:pos="4320"/>
        </w:tabs>
        <w:ind w:left="4320" w:hanging="360"/>
      </w:pPr>
    </w:lvl>
    <w:lvl w:ilvl="6" w:tplc="CD78135C" w:tentative="1">
      <w:start w:val="1"/>
      <w:numFmt w:val="decimal"/>
      <w:lvlText w:val="%7."/>
      <w:lvlJc w:val="left"/>
      <w:pPr>
        <w:tabs>
          <w:tab w:val="num" w:pos="5040"/>
        </w:tabs>
        <w:ind w:left="5040" w:hanging="360"/>
      </w:pPr>
    </w:lvl>
    <w:lvl w:ilvl="7" w:tplc="2A008FEE" w:tentative="1">
      <w:start w:val="1"/>
      <w:numFmt w:val="decimal"/>
      <w:lvlText w:val="%8."/>
      <w:lvlJc w:val="left"/>
      <w:pPr>
        <w:tabs>
          <w:tab w:val="num" w:pos="5760"/>
        </w:tabs>
        <w:ind w:left="5760" w:hanging="360"/>
      </w:pPr>
    </w:lvl>
    <w:lvl w:ilvl="8" w:tplc="2C3086B4" w:tentative="1">
      <w:start w:val="1"/>
      <w:numFmt w:val="decimal"/>
      <w:lvlText w:val="%9."/>
      <w:lvlJc w:val="left"/>
      <w:pPr>
        <w:tabs>
          <w:tab w:val="num" w:pos="6480"/>
        </w:tabs>
        <w:ind w:left="6480" w:hanging="360"/>
      </w:pPr>
    </w:lvl>
  </w:abstractNum>
  <w:abstractNum w:abstractNumId="6" w15:restartNumberingAfterBreak="0">
    <w:nsid w:val="14BB7D23"/>
    <w:multiLevelType w:val="multilevel"/>
    <w:tmpl w:val="1264F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7C9206B"/>
    <w:multiLevelType w:val="hybridMultilevel"/>
    <w:tmpl w:val="2A2C1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0448D3"/>
    <w:multiLevelType w:val="multilevel"/>
    <w:tmpl w:val="34D0564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3B74DDD"/>
    <w:multiLevelType w:val="multilevel"/>
    <w:tmpl w:val="D21AC5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6111F01"/>
    <w:multiLevelType w:val="hybridMultilevel"/>
    <w:tmpl w:val="2CE84F16"/>
    <w:lvl w:ilvl="0" w:tplc="7F96027C">
      <w:start w:val="2"/>
      <w:numFmt w:val="lowerRoman"/>
      <w:lvlText w:val="%1."/>
      <w:lvlJc w:val="right"/>
      <w:pPr>
        <w:tabs>
          <w:tab w:val="num" w:pos="720"/>
        </w:tabs>
        <w:ind w:left="720" w:hanging="360"/>
      </w:pPr>
    </w:lvl>
    <w:lvl w:ilvl="1" w:tplc="CD76A5DE" w:tentative="1">
      <w:start w:val="1"/>
      <w:numFmt w:val="decimal"/>
      <w:lvlText w:val="%2."/>
      <w:lvlJc w:val="left"/>
      <w:pPr>
        <w:tabs>
          <w:tab w:val="num" w:pos="1440"/>
        </w:tabs>
        <w:ind w:left="1440" w:hanging="360"/>
      </w:pPr>
    </w:lvl>
    <w:lvl w:ilvl="2" w:tplc="A020831C" w:tentative="1">
      <w:start w:val="1"/>
      <w:numFmt w:val="decimal"/>
      <w:lvlText w:val="%3."/>
      <w:lvlJc w:val="left"/>
      <w:pPr>
        <w:tabs>
          <w:tab w:val="num" w:pos="2160"/>
        </w:tabs>
        <w:ind w:left="2160" w:hanging="360"/>
      </w:pPr>
    </w:lvl>
    <w:lvl w:ilvl="3" w:tplc="70641EC6" w:tentative="1">
      <w:start w:val="1"/>
      <w:numFmt w:val="decimal"/>
      <w:lvlText w:val="%4."/>
      <w:lvlJc w:val="left"/>
      <w:pPr>
        <w:tabs>
          <w:tab w:val="num" w:pos="2880"/>
        </w:tabs>
        <w:ind w:left="2880" w:hanging="360"/>
      </w:pPr>
    </w:lvl>
    <w:lvl w:ilvl="4" w:tplc="EA1A7E18" w:tentative="1">
      <w:start w:val="1"/>
      <w:numFmt w:val="decimal"/>
      <w:lvlText w:val="%5."/>
      <w:lvlJc w:val="left"/>
      <w:pPr>
        <w:tabs>
          <w:tab w:val="num" w:pos="3600"/>
        </w:tabs>
        <w:ind w:left="3600" w:hanging="360"/>
      </w:pPr>
    </w:lvl>
    <w:lvl w:ilvl="5" w:tplc="E18EC3C2" w:tentative="1">
      <w:start w:val="1"/>
      <w:numFmt w:val="decimal"/>
      <w:lvlText w:val="%6."/>
      <w:lvlJc w:val="left"/>
      <w:pPr>
        <w:tabs>
          <w:tab w:val="num" w:pos="4320"/>
        </w:tabs>
        <w:ind w:left="4320" w:hanging="360"/>
      </w:pPr>
    </w:lvl>
    <w:lvl w:ilvl="6" w:tplc="7062E8B8" w:tentative="1">
      <w:start w:val="1"/>
      <w:numFmt w:val="decimal"/>
      <w:lvlText w:val="%7."/>
      <w:lvlJc w:val="left"/>
      <w:pPr>
        <w:tabs>
          <w:tab w:val="num" w:pos="5040"/>
        </w:tabs>
        <w:ind w:left="5040" w:hanging="360"/>
      </w:pPr>
    </w:lvl>
    <w:lvl w:ilvl="7" w:tplc="992C9C66" w:tentative="1">
      <w:start w:val="1"/>
      <w:numFmt w:val="decimal"/>
      <w:lvlText w:val="%8."/>
      <w:lvlJc w:val="left"/>
      <w:pPr>
        <w:tabs>
          <w:tab w:val="num" w:pos="5760"/>
        </w:tabs>
        <w:ind w:left="5760" w:hanging="360"/>
      </w:pPr>
    </w:lvl>
    <w:lvl w:ilvl="8" w:tplc="6FB2A2A6" w:tentative="1">
      <w:start w:val="1"/>
      <w:numFmt w:val="decimal"/>
      <w:lvlText w:val="%9."/>
      <w:lvlJc w:val="left"/>
      <w:pPr>
        <w:tabs>
          <w:tab w:val="num" w:pos="6480"/>
        </w:tabs>
        <w:ind w:left="6480" w:hanging="360"/>
      </w:pPr>
    </w:lvl>
  </w:abstractNum>
  <w:abstractNum w:abstractNumId="11" w15:restartNumberingAfterBreak="0">
    <w:nsid w:val="27227F61"/>
    <w:multiLevelType w:val="hybridMultilevel"/>
    <w:tmpl w:val="0C7A21A2"/>
    <w:lvl w:ilvl="0" w:tplc="87BE07AE">
      <w:start w:val="1"/>
      <w:numFmt w:val="bullet"/>
      <w:lvlText w:val=""/>
      <w:lvlJc w:val="left"/>
      <w:pPr>
        <w:ind w:left="521" w:hanging="360"/>
      </w:pPr>
      <w:rPr>
        <w:rFonts w:ascii="Symbol" w:hAnsi="Symbol" w:cs="Symbol" w:hint="default"/>
        <w:color w:val="auto"/>
      </w:rPr>
    </w:lvl>
    <w:lvl w:ilvl="1" w:tplc="04090003" w:tentative="1">
      <w:start w:val="1"/>
      <w:numFmt w:val="bullet"/>
      <w:lvlText w:val="o"/>
      <w:lvlJc w:val="left"/>
      <w:pPr>
        <w:ind w:left="1241" w:hanging="360"/>
      </w:pPr>
      <w:rPr>
        <w:rFonts w:ascii="Courier New" w:hAnsi="Courier New" w:cs="Courier New" w:hint="default"/>
      </w:rPr>
    </w:lvl>
    <w:lvl w:ilvl="2" w:tplc="04090005" w:tentative="1">
      <w:start w:val="1"/>
      <w:numFmt w:val="bullet"/>
      <w:lvlText w:val=""/>
      <w:lvlJc w:val="left"/>
      <w:pPr>
        <w:ind w:left="1961" w:hanging="360"/>
      </w:pPr>
      <w:rPr>
        <w:rFonts w:ascii="Wingdings" w:hAnsi="Wingdings" w:hint="default"/>
      </w:rPr>
    </w:lvl>
    <w:lvl w:ilvl="3" w:tplc="04090001" w:tentative="1">
      <w:start w:val="1"/>
      <w:numFmt w:val="bullet"/>
      <w:lvlText w:val=""/>
      <w:lvlJc w:val="left"/>
      <w:pPr>
        <w:ind w:left="2681" w:hanging="360"/>
      </w:pPr>
      <w:rPr>
        <w:rFonts w:ascii="Symbol" w:hAnsi="Symbol" w:hint="default"/>
      </w:rPr>
    </w:lvl>
    <w:lvl w:ilvl="4" w:tplc="04090003" w:tentative="1">
      <w:start w:val="1"/>
      <w:numFmt w:val="bullet"/>
      <w:lvlText w:val="o"/>
      <w:lvlJc w:val="left"/>
      <w:pPr>
        <w:ind w:left="3401" w:hanging="360"/>
      </w:pPr>
      <w:rPr>
        <w:rFonts w:ascii="Courier New" w:hAnsi="Courier New" w:cs="Courier New" w:hint="default"/>
      </w:rPr>
    </w:lvl>
    <w:lvl w:ilvl="5" w:tplc="04090005" w:tentative="1">
      <w:start w:val="1"/>
      <w:numFmt w:val="bullet"/>
      <w:lvlText w:val=""/>
      <w:lvlJc w:val="left"/>
      <w:pPr>
        <w:ind w:left="4121" w:hanging="360"/>
      </w:pPr>
      <w:rPr>
        <w:rFonts w:ascii="Wingdings" w:hAnsi="Wingdings" w:hint="default"/>
      </w:rPr>
    </w:lvl>
    <w:lvl w:ilvl="6" w:tplc="04090001" w:tentative="1">
      <w:start w:val="1"/>
      <w:numFmt w:val="bullet"/>
      <w:lvlText w:val=""/>
      <w:lvlJc w:val="left"/>
      <w:pPr>
        <w:ind w:left="4841" w:hanging="360"/>
      </w:pPr>
      <w:rPr>
        <w:rFonts w:ascii="Symbol" w:hAnsi="Symbol" w:hint="default"/>
      </w:rPr>
    </w:lvl>
    <w:lvl w:ilvl="7" w:tplc="04090003" w:tentative="1">
      <w:start w:val="1"/>
      <w:numFmt w:val="bullet"/>
      <w:lvlText w:val="o"/>
      <w:lvlJc w:val="left"/>
      <w:pPr>
        <w:ind w:left="5561" w:hanging="360"/>
      </w:pPr>
      <w:rPr>
        <w:rFonts w:ascii="Courier New" w:hAnsi="Courier New" w:cs="Courier New" w:hint="default"/>
      </w:rPr>
    </w:lvl>
    <w:lvl w:ilvl="8" w:tplc="04090005" w:tentative="1">
      <w:start w:val="1"/>
      <w:numFmt w:val="bullet"/>
      <w:lvlText w:val=""/>
      <w:lvlJc w:val="left"/>
      <w:pPr>
        <w:ind w:left="6281" w:hanging="360"/>
      </w:pPr>
      <w:rPr>
        <w:rFonts w:ascii="Wingdings" w:hAnsi="Wingdings" w:hint="default"/>
      </w:rPr>
    </w:lvl>
  </w:abstractNum>
  <w:abstractNum w:abstractNumId="12" w15:restartNumberingAfterBreak="0">
    <w:nsid w:val="32E41320"/>
    <w:multiLevelType w:val="hybridMultilevel"/>
    <w:tmpl w:val="C5362418"/>
    <w:lvl w:ilvl="0" w:tplc="D00033E0">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457E3E8C"/>
    <w:multiLevelType w:val="multilevel"/>
    <w:tmpl w:val="5D6096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8354FCC"/>
    <w:multiLevelType w:val="hybridMultilevel"/>
    <w:tmpl w:val="34FC386E"/>
    <w:lvl w:ilvl="0" w:tplc="2BB64E3A">
      <w:start w:val="1"/>
      <w:numFmt w:val="lowerRoman"/>
      <w:lvlText w:val="%1."/>
      <w:lvlJc w:val="righ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8F2A58"/>
    <w:multiLevelType w:val="hybridMultilevel"/>
    <w:tmpl w:val="003C4A8A"/>
    <w:lvl w:ilvl="0" w:tplc="2710F364">
      <w:start w:val="1"/>
      <w:numFmt w:val="decimal"/>
      <w:lvlText w:val="%1."/>
      <w:lvlJc w:val="left"/>
      <w:pPr>
        <w:ind w:left="1485" w:hanging="405"/>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A950C9B"/>
    <w:multiLevelType w:val="multilevel"/>
    <w:tmpl w:val="78CCC3E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BBE0817"/>
    <w:multiLevelType w:val="hybridMultilevel"/>
    <w:tmpl w:val="298C4562"/>
    <w:lvl w:ilvl="0" w:tplc="212E2A48">
      <w:start w:val="2"/>
      <w:numFmt w:val="lowerRoman"/>
      <w:lvlText w:val="%1."/>
      <w:lvlJc w:val="right"/>
      <w:pPr>
        <w:tabs>
          <w:tab w:val="num" w:pos="720"/>
        </w:tabs>
        <w:ind w:left="720" w:hanging="360"/>
      </w:pPr>
    </w:lvl>
    <w:lvl w:ilvl="1" w:tplc="659C7CAE" w:tentative="1">
      <w:start w:val="1"/>
      <w:numFmt w:val="decimal"/>
      <w:lvlText w:val="%2."/>
      <w:lvlJc w:val="left"/>
      <w:pPr>
        <w:tabs>
          <w:tab w:val="num" w:pos="1440"/>
        </w:tabs>
        <w:ind w:left="1440" w:hanging="360"/>
      </w:pPr>
    </w:lvl>
    <w:lvl w:ilvl="2" w:tplc="7F08E116" w:tentative="1">
      <w:start w:val="1"/>
      <w:numFmt w:val="decimal"/>
      <w:lvlText w:val="%3."/>
      <w:lvlJc w:val="left"/>
      <w:pPr>
        <w:tabs>
          <w:tab w:val="num" w:pos="2160"/>
        </w:tabs>
        <w:ind w:left="2160" w:hanging="360"/>
      </w:pPr>
    </w:lvl>
    <w:lvl w:ilvl="3" w:tplc="82E86434" w:tentative="1">
      <w:start w:val="1"/>
      <w:numFmt w:val="decimal"/>
      <w:lvlText w:val="%4."/>
      <w:lvlJc w:val="left"/>
      <w:pPr>
        <w:tabs>
          <w:tab w:val="num" w:pos="2880"/>
        </w:tabs>
        <w:ind w:left="2880" w:hanging="360"/>
      </w:pPr>
    </w:lvl>
    <w:lvl w:ilvl="4" w:tplc="86B424A0" w:tentative="1">
      <w:start w:val="1"/>
      <w:numFmt w:val="decimal"/>
      <w:lvlText w:val="%5."/>
      <w:lvlJc w:val="left"/>
      <w:pPr>
        <w:tabs>
          <w:tab w:val="num" w:pos="3600"/>
        </w:tabs>
        <w:ind w:left="3600" w:hanging="360"/>
      </w:pPr>
    </w:lvl>
    <w:lvl w:ilvl="5" w:tplc="61569176" w:tentative="1">
      <w:start w:val="1"/>
      <w:numFmt w:val="decimal"/>
      <w:lvlText w:val="%6."/>
      <w:lvlJc w:val="left"/>
      <w:pPr>
        <w:tabs>
          <w:tab w:val="num" w:pos="4320"/>
        </w:tabs>
        <w:ind w:left="4320" w:hanging="360"/>
      </w:pPr>
    </w:lvl>
    <w:lvl w:ilvl="6" w:tplc="D3200BBA" w:tentative="1">
      <w:start w:val="1"/>
      <w:numFmt w:val="decimal"/>
      <w:lvlText w:val="%7."/>
      <w:lvlJc w:val="left"/>
      <w:pPr>
        <w:tabs>
          <w:tab w:val="num" w:pos="5040"/>
        </w:tabs>
        <w:ind w:left="5040" w:hanging="360"/>
      </w:pPr>
    </w:lvl>
    <w:lvl w:ilvl="7" w:tplc="5E4E3DD2" w:tentative="1">
      <w:start w:val="1"/>
      <w:numFmt w:val="decimal"/>
      <w:lvlText w:val="%8."/>
      <w:lvlJc w:val="left"/>
      <w:pPr>
        <w:tabs>
          <w:tab w:val="num" w:pos="5760"/>
        </w:tabs>
        <w:ind w:left="5760" w:hanging="360"/>
      </w:pPr>
    </w:lvl>
    <w:lvl w:ilvl="8" w:tplc="2D64D160" w:tentative="1">
      <w:start w:val="1"/>
      <w:numFmt w:val="decimal"/>
      <w:lvlText w:val="%9."/>
      <w:lvlJc w:val="left"/>
      <w:pPr>
        <w:tabs>
          <w:tab w:val="num" w:pos="6480"/>
        </w:tabs>
        <w:ind w:left="6480" w:hanging="360"/>
      </w:pPr>
    </w:lvl>
  </w:abstractNum>
  <w:abstractNum w:abstractNumId="18" w15:restartNumberingAfterBreak="0">
    <w:nsid w:val="53F652CA"/>
    <w:multiLevelType w:val="hybridMultilevel"/>
    <w:tmpl w:val="B2C4B21A"/>
    <w:lvl w:ilvl="0" w:tplc="0409000F">
      <w:start w:val="1"/>
      <w:numFmt w:val="decimal"/>
      <w:lvlText w:val="%1."/>
      <w:lvlJc w:val="left"/>
      <w:pPr>
        <w:ind w:left="1440" w:hanging="360"/>
      </w:pPr>
    </w:lvl>
    <w:lvl w:ilvl="1" w:tplc="32E4A7EA">
      <w:start w:val="1"/>
      <w:numFmt w:val="lowerLetter"/>
      <w:lvlText w:val="%2."/>
      <w:lvlJc w:val="left"/>
      <w:pPr>
        <w:ind w:left="2205" w:hanging="405"/>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5A5407B4"/>
    <w:multiLevelType w:val="hybridMultilevel"/>
    <w:tmpl w:val="82102600"/>
    <w:lvl w:ilvl="0" w:tplc="D00033E0">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30E569A"/>
    <w:multiLevelType w:val="hybridMultilevel"/>
    <w:tmpl w:val="68CE3968"/>
    <w:lvl w:ilvl="0" w:tplc="53C2A242">
      <w:numFmt w:val="bullet"/>
      <w:lvlText w:val="-"/>
      <w:lvlJc w:val="left"/>
      <w:pPr>
        <w:ind w:left="1140" w:hanging="42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CAA0FB7"/>
    <w:multiLevelType w:val="multilevel"/>
    <w:tmpl w:val="22A439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C354025"/>
    <w:multiLevelType w:val="hybridMultilevel"/>
    <w:tmpl w:val="350A2478"/>
    <w:lvl w:ilvl="0" w:tplc="04090001">
      <w:start w:val="1"/>
      <w:numFmt w:val="bullet"/>
      <w:lvlText w:val=""/>
      <w:lvlJc w:val="left"/>
      <w:pPr>
        <w:ind w:left="705" w:hanging="360"/>
      </w:pPr>
      <w:rPr>
        <w:rFonts w:ascii="Symbol" w:hAnsi="Symbol"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num w:numId="1">
    <w:abstractNumId w:val="18"/>
  </w:num>
  <w:num w:numId="2">
    <w:abstractNumId w:val="20"/>
  </w:num>
  <w:num w:numId="3">
    <w:abstractNumId w:val="12"/>
  </w:num>
  <w:num w:numId="4">
    <w:abstractNumId w:val="15"/>
  </w:num>
  <w:num w:numId="5">
    <w:abstractNumId w:val="3"/>
  </w:num>
  <w:num w:numId="6">
    <w:abstractNumId w:val="19"/>
  </w:num>
  <w:num w:numId="7">
    <w:abstractNumId w:val="0"/>
  </w:num>
  <w:num w:numId="8">
    <w:abstractNumId w:val="16"/>
    <w:lvlOverride w:ilvl="0">
      <w:lvl w:ilvl="0">
        <w:numFmt w:val="decimal"/>
        <w:lvlText w:val="%1."/>
        <w:lvlJc w:val="left"/>
      </w:lvl>
    </w:lvlOverride>
  </w:num>
  <w:num w:numId="9">
    <w:abstractNumId w:val="13"/>
    <w:lvlOverride w:ilvl="0">
      <w:lvl w:ilvl="0">
        <w:numFmt w:val="decimal"/>
        <w:lvlText w:val="%1."/>
        <w:lvlJc w:val="left"/>
      </w:lvl>
    </w:lvlOverride>
  </w:num>
  <w:num w:numId="10">
    <w:abstractNumId w:val="21"/>
    <w:lvlOverride w:ilvl="0">
      <w:lvl w:ilvl="0">
        <w:numFmt w:val="lowerRoman"/>
        <w:lvlText w:val="%1."/>
        <w:lvlJc w:val="right"/>
      </w:lvl>
    </w:lvlOverride>
  </w:num>
  <w:num w:numId="11">
    <w:abstractNumId w:val="10"/>
  </w:num>
  <w:num w:numId="12">
    <w:abstractNumId w:val="10"/>
    <w:lvlOverride w:ilvl="0">
      <w:lvl w:ilvl="0" w:tplc="7F96027C">
        <w:numFmt w:val="lowerRoman"/>
        <w:lvlText w:val="%1."/>
        <w:lvlJc w:val="right"/>
      </w:lvl>
    </w:lvlOverride>
  </w:num>
  <w:num w:numId="13">
    <w:abstractNumId w:val="10"/>
    <w:lvlOverride w:ilvl="0">
      <w:lvl w:ilvl="0" w:tplc="7F96027C">
        <w:numFmt w:val="lowerRoman"/>
        <w:lvlText w:val="%1."/>
        <w:lvlJc w:val="right"/>
      </w:lvl>
    </w:lvlOverride>
  </w:num>
  <w:num w:numId="14">
    <w:abstractNumId w:val="10"/>
    <w:lvlOverride w:ilvl="0">
      <w:lvl w:ilvl="0" w:tplc="7F96027C">
        <w:numFmt w:val="lowerRoman"/>
        <w:lvlText w:val="%1."/>
        <w:lvlJc w:val="right"/>
      </w:lvl>
    </w:lvlOverride>
  </w:num>
  <w:num w:numId="15">
    <w:abstractNumId w:val="8"/>
    <w:lvlOverride w:ilvl="0">
      <w:lvl w:ilvl="0">
        <w:numFmt w:val="decimal"/>
        <w:lvlText w:val="%1."/>
        <w:lvlJc w:val="left"/>
      </w:lvl>
    </w:lvlOverride>
  </w:num>
  <w:num w:numId="16">
    <w:abstractNumId w:val="6"/>
    <w:lvlOverride w:ilvl="0">
      <w:lvl w:ilvl="0">
        <w:numFmt w:val="lowerLetter"/>
        <w:lvlText w:val="%1."/>
        <w:lvlJc w:val="left"/>
      </w:lvl>
    </w:lvlOverride>
  </w:num>
  <w:num w:numId="17">
    <w:abstractNumId w:val="5"/>
  </w:num>
  <w:num w:numId="18">
    <w:abstractNumId w:val="9"/>
    <w:lvlOverride w:ilvl="0">
      <w:lvl w:ilvl="0">
        <w:numFmt w:val="lowerRoman"/>
        <w:lvlText w:val="%1."/>
        <w:lvlJc w:val="right"/>
      </w:lvl>
    </w:lvlOverride>
  </w:num>
  <w:num w:numId="19">
    <w:abstractNumId w:val="17"/>
  </w:num>
  <w:num w:numId="20">
    <w:abstractNumId w:val="2"/>
  </w:num>
  <w:num w:numId="21">
    <w:abstractNumId w:val="7"/>
  </w:num>
  <w:num w:numId="22">
    <w:abstractNumId w:val="22"/>
  </w:num>
  <w:num w:numId="23">
    <w:abstractNumId w:val="4"/>
  </w:num>
  <w:num w:numId="24">
    <w:abstractNumId w:val="1"/>
  </w:num>
  <w:num w:numId="25">
    <w:abstractNumId w:val="14"/>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9A2"/>
    <w:rsid w:val="00000C08"/>
    <w:rsid w:val="00004FB1"/>
    <w:rsid w:val="00010A52"/>
    <w:rsid w:val="00017C37"/>
    <w:rsid w:val="00020A92"/>
    <w:rsid w:val="00040566"/>
    <w:rsid w:val="00053A5C"/>
    <w:rsid w:val="00080127"/>
    <w:rsid w:val="000A4A3D"/>
    <w:rsid w:val="000D6A5C"/>
    <w:rsid w:val="000E7408"/>
    <w:rsid w:val="000F03F9"/>
    <w:rsid w:val="000F774E"/>
    <w:rsid w:val="00112545"/>
    <w:rsid w:val="00114D44"/>
    <w:rsid w:val="00122934"/>
    <w:rsid w:val="00150C56"/>
    <w:rsid w:val="00150F1C"/>
    <w:rsid w:val="00183EFA"/>
    <w:rsid w:val="00184A33"/>
    <w:rsid w:val="00192467"/>
    <w:rsid w:val="001A14F7"/>
    <w:rsid w:val="001A1B59"/>
    <w:rsid w:val="001A30F1"/>
    <w:rsid w:val="001B25E7"/>
    <w:rsid w:val="001B4956"/>
    <w:rsid w:val="001D6656"/>
    <w:rsid w:val="001E487B"/>
    <w:rsid w:val="001F19F8"/>
    <w:rsid w:val="001F6C9E"/>
    <w:rsid w:val="00211567"/>
    <w:rsid w:val="00221D0E"/>
    <w:rsid w:val="0022238B"/>
    <w:rsid w:val="00222A5E"/>
    <w:rsid w:val="00233CA1"/>
    <w:rsid w:val="00254791"/>
    <w:rsid w:val="002807E8"/>
    <w:rsid w:val="002A0EE2"/>
    <w:rsid w:val="002A4976"/>
    <w:rsid w:val="002B1A2B"/>
    <w:rsid w:val="002B5AA1"/>
    <w:rsid w:val="002D5A03"/>
    <w:rsid w:val="002E1A9D"/>
    <w:rsid w:val="002E2543"/>
    <w:rsid w:val="002F1FC2"/>
    <w:rsid w:val="00306C1D"/>
    <w:rsid w:val="00312E43"/>
    <w:rsid w:val="003238DB"/>
    <w:rsid w:val="00330B95"/>
    <w:rsid w:val="00341BBD"/>
    <w:rsid w:val="0036069D"/>
    <w:rsid w:val="003A7AFA"/>
    <w:rsid w:val="003B4E97"/>
    <w:rsid w:val="003B74BD"/>
    <w:rsid w:val="003C4FE3"/>
    <w:rsid w:val="003D317C"/>
    <w:rsid w:val="003D5C0E"/>
    <w:rsid w:val="0040078F"/>
    <w:rsid w:val="0045569C"/>
    <w:rsid w:val="004822C3"/>
    <w:rsid w:val="00492609"/>
    <w:rsid w:val="004A0528"/>
    <w:rsid w:val="004D2155"/>
    <w:rsid w:val="004E35C4"/>
    <w:rsid w:val="004E3F44"/>
    <w:rsid w:val="00512F06"/>
    <w:rsid w:val="00544A0D"/>
    <w:rsid w:val="00563919"/>
    <w:rsid w:val="00594D8C"/>
    <w:rsid w:val="005B52C8"/>
    <w:rsid w:val="005C22CC"/>
    <w:rsid w:val="005C3C95"/>
    <w:rsid w:val="005D138E"/>
    <w:rsid w:val="005E690D"/>
    <w:rsid w:val="005F7983"/>
    <w:rsid w:val="006033A6"/>
    <w:rsid w:val="0063792F"/>
    <w:rsid w:val="006570ED"/>
    <w:rsid w:val="00657465"/>
    <w:rsid w:val="00682069"/>
    <w:rsid w:val="006A7C34"/>
    <w:rsid w:val="006B26C6"/>
    <w:rsid w:val="006C0F70"/>
    <w:rsid w:val="006C268F"/>
    <w:rsid w:val="006C76D3"/>
    <w:rsid w:val="006E2111"/>
    <w:rsid w:val="00700074"/>
    <w:rsid w:val="00715800"/>
    <w:rsid w:val="007337A4"/>
    <w:rsid w:val="007416E4"/>
    <w:rsid w:val="00743ED2"/>
    <w:rsid w:val="007834E3"/>
    <w:rsid w:val="00794810"/>
    <w:rsid w:val="007A1CCB"/>
    <w:rsid w:val="007A5D1B"/>
    <w:rsid w:val="007A6D12"/>
    <w:rsid w:val="007B1E74"/>
    <w:rsid w:val="007B3CCB"/>
    <w:rsid w:val="007C4409"/>
    <w:rsid w:val="007E76D4"/>
    <w:rsid w:val="00806644"/>
    <w:rsid w:val="00814068"/>
    <w:rsid w:val="0081407D"/>
    <w:rsid w:val="00822B07"/>
    <w:rsid w:val="00826F17"/>
    <w:rsid w:val="0085487A"/>
    <w:rsid w:val="00856908"/>
    <w:rsid w:val="008633AC"/>
    <w:rsid w:val="0086650C"/>
    <w:rsid w:val="00875F67"/>
    <w:rsid w:val="008A24EE"/>
    <w:rsid w:val="008C24E5"/>
    <w:rsid w:val="008C3376"/>
    <w:rsid w:val="008D62CD"/>
    <w:rsid w:val="008F11D0"/>
    <w:rsid w:val="00906442"/>
    <w:rsid w:val="00906DF6"/>
    <w:rsid w:val="00912412"/>
    <w:rsid w:val="00940634"/>
    <w:rsid w:val="00950647"/>
    <w:rsid w:val="00970B41"/>
    <w:rsid w:val="00973FF3"/>
    <w:rsid w:val="00974CDF"/>
    <w:rsid w:val="00976F65"/>
    <w:rsid w:val="009A59A2"/>
    <w:rsid w:val="009A6FF9"/>
    <w:rsid w:val="009B077B"/>
    <w:rsid w:val="009C6BE0"/>
    <w:rsid w:val="009E77BD"/>
    <w:rsid w:val="009F367C"/>
    <w:rsid w:val="009F4021"/>
    <w:rsid w:val="00A00D56"/>
    <w:rsid w:val="00A041BA"/>
    <w:rsid w:val="00A10334"/>
    <w:rsid w:val="00A15D04"/>
    <w:rsid w:val="00A16969"/>
    <w:rsid w:val="00A20E4D"/>
    <w:rsid w:val="00A31260"/>
    <w:rsid w:val="00A35680"/>
    <w:rsid w:val="00A36C35"/>
    <w:rsid w:val="00A43915"/>
    <w:rsid w:val="00A80191"/>
    <w:rsid w:val="00AC1AD5"/>
    <w:rsid w:val="00AC711A"/>
    <w:rsid w:val="00AC7605"/>
    <w:rsid w:val="00AD1AF5"/>
    <w:rsid w:val="00B2067B"/>
    <w:rsid w:val="00B24417"/>
    <w:rsid w:val="00B24FB8"/>
    <w:rsid w:val="00B31B77"/>
    <w:rsid w:val="00B40497"/>
    <w:rsid w:val="00B431B2"/>
    <w:rsid w:val="00B64528"/>
    <w:rsid w:val="00B66282"/>
    <w:rsid w:val="00B94DA6"/>
    <w:rsid w:val="00B97D5F"/>
    <w:rsid w:val="00BA6F33"/>
    <w:rsid w:val="00BB17A7"/>
    <w:rsid w:val="00BC439C"/>
    <w:rsid w:val="00BC48B9"/>
    <w:rsid w:val="00BD04B3"/>
    <w:rsid w:val="00BE1B22"/>
    <w:rsid w:val="00C04196"/>
    <w:rsid w:val="00C04BB1"/>
    <w:rsid w:val="00C05A75"/>
    <w:rsid w:val="00C10674"/>
    <w:rsid w:val="00C278F2"/>
    <w:rsid w:val="00C50CF1"/>
    <w:rsid w:val="00C574C9"/>
    <w:rsid w:val="00C667E4"/>
    <w:rsid w:val="00C8760D"/>
    <w:rsid w:val="00C95DEA"/>
    <w:rsid w:val="00CA185E"/>
    <w:rsid w:val="00CA7A5F"/>
    <w:rsid w:val="00CD3909"/>
    <w:rsid w:val="00CD71DB"/>
    <w:rsid w:val="00CE0BD1"/>
    <w:rsid w:val="00CE303F"/>
    <w:rsid w:val="00D24993"/>
    <w:rsid w:val="00D430E9"/>
    <w:rsid w:val="00D4417D"/>
    <w:rsid w:val="00D5017D"/>
    <w:rsid w:val="00D64ED8"/>
    <w:rsid w:val="00D66BC6"/>
    <w:rsid w:val="00D77784"/>
    <w:rsid w:val="00D802CC"/>
    <w:rsid w:val="00D86B31"/>
    <w:rsid w:val="00D87EC9"/>
    <w:rsid w:val="00DA0C90"/>
    <w:rsid w:val="00DA17CF"/>
    <w:rsid w:val="00DA2E67"/>
    <w:rsid w:val="00DA53BE"/>
    <w:rsid w:val="00DB582E"/>
    <w:rsid w:val="00DD01C2"/>
    <w:rsid w:val="00DD0DCD"/>
    <w:rsid w:val="00DD222B"/>
    <w:rsid w:val="00E0335C"/>
    <w:rsid w:val="00E11C5E"/>
    <w:rsid w:val="00E32F09"/>
    <w:rsid w:val="00E45576"/>
    <w:rsid w:val="00E6000F"/>
    <w:rsid w:val="00E6177D"/>
    <w:rsid w:val="00ED0355"/>
    <w:rsid w:val="00EE34B2"/>
    <w:rsid w:val="00F06C0B"/>
    <w:rsid w:val="00F16026"/>
    <w:rsid w:val="00F30A17"/>
    <w:rsid w:val="00F7489F"/>
    <w:rsid w:val="00F75B19"/>
    <w:rsid w:val="00F771BA"/>
    <w:rsid w:val="00F813FD"/>
    <w:rsid w:val="00F823C7"/>
    <w:rsid w:val="00F86F96"/>
    <w:rsid w:val="00FA482A"/>
    <w:rsid w:val="00FC3BA3"/>
    <w:rsid w:val="00FD51A1"/>
    <w:rsid w:val="00FD6F52"/>
    <w:rsid w:val="00FE2229"/>
    <w:rsid w:val="00FE5399"/>
    <w:rsid w:val="00FE754C"/>
    <w:rsid w:val="00FF1D90"/>
    <w:rsid w:val="00FF6C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E3E19"/>
  <w15:chartTrackingRefBased/>
  <w15:docId w15:val="{0E75E767-DA4B-43C6-8272-682A9749A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22CC"/>
    <w:pPr>
      <w:spacing w:after="0" w:line="240" w:lineRule="auto"/>
    </w:pPr>
    <w:rPr>
      <w:rFonts w:ascii="Calibri" w:hAnsi="Calibri" w:cs="Calibri"/>
    </w:rPr>
  </w:style>
  <w:style w:type="paragraph" w:styleId="Heading1">
    <w:name w:val="heading 1"/>
    <w:basedOn w:val="Normal"/>
    <w:next w:val="Normal"/>
    <w:link w:val="Heading1Char"/>
    <w:uiPriority w:val="9"/>
    <w:qFormat/>
    <w:rsid w:val="005C22C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C22C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B66282"/>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mail-m-8455159250973336675msolistparagraph">
    <w:name w:val="gmail-m_-8455159250973336675msolistparagraph"/>
    <w:basedOn w:val="Normal"/>
    <w:rsid w:val="005C22CC"/>
    <w:pPr>
      <w:spacing w:before="100" w:beforeAutospacing="1" w:after="100" w:afterAutospacing="1"/>
    </w:pPr>
  </w:style>
  <w:style w:type="character" w:customStyle="1" w:styleId="Heading1Char">
    <w:name w:val="Heading 1 Char"/>
    <w:basedOn w:val="DefaultParagraphFont"/>
    <w:link w:val="Heading1"/>
    <w:uiPriority w:val="9"/>
    <w:rsid w:val="005C22C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C22C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5C22CC"/>
    <w:pPr>
      <w:ind w:left="720"/>
      <w:contextualSpacing/>
    </w:pPr>
  </w:style>
  <w:style w:type="character" w:styleId="Hyperlink">
    <w:name w:val="Hyperlink"/>
    <w:basedOn w:val="DefaultParagraphFont"/>
    <w:uiPriority w:val="99"/>
    <w:unhideWhenUsed/>
    <w:rsid w:val="00040566"/>
    <w:rPr>
      <w:color w:val="0563C1" w:themeColor="hyperlink"/>
      <w:u w:val="single"/>
    </w:rPr>
  </w:style>
  <w:style w:type="character" w:styleId="UnresolvedMention">
    <w:name w:val="Unresolved Mention"/>
    <w:basedOn w:val="DefaultParagraphFont"/>
    <w:uiPriority w:val="99"/>
    <w:semiHidden/>
    <w:unhideWhenUsed/>
    <w:rsid w:val="002807E8"/>
    <w:rPr>
      <w:color w:val="605E5C"/>
      <w:shd w:val="clear" w:color="auto" w:fill="E1DFDD"/>
    </w:rPr>
  </w:style>
  <w:style w:type="character" w:styleId="FollowedHyperlink">
    <w:name w:val="FollowedHyperlink"/>
    <w:basedOn w:val="DefaultParagraphFont"/>
    <w:uiPriority w:val="99"/>
    <w:semiHidden/>
    <w:unhideWhenUsed/>
    <w:rsid w:val="00E6000F"/>
    <w:rPr>
      <w:color w:val="954F72" w:themeColor="followedHyperlink"/>
      <w:u w:val="single"/>
    </w:rPr>
  </w:style>
  <w:style w:type="table" w:styleId="TableGrid">
    <w:name w:val="Table Grid"/>
    <w:basedOn w:val="TableNormal"/>
    <w:uiPriority w:val="39"/>
    <w:rsid w:val="007B3C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31B77"/>
    <w:pPr>
      <w:spacing w:before="100" w:beforeAutospacing="1" w:after="100" w:afterAutospacing="1"/>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E6177D"/>
    <w:rPr>
      <w:sz w:val="16"/>
      <w:szCs w:val="16"/>
    </w:rPr>
  </w:style>
  <w:style w:type="paragraph" w:styleId="CommentText">
    <w:name w:val="annotation text"/>
    <w:basedOn w:val="Normal"/>
    <w:link w:val="CommentTextChar"/>
    <w:uiPriority w:val="99"/>
    <w:semiHidden/>
    <w:unhideWhenUsed/>
    <w:rsid w:val="00E6177D"/>
    <w:rPr>
      <w:sz w:val="20"/>
      <w:szCs w:val="20"/>
    </w:rPr>
  </w:style>
  <w:style w:type="character" w:customStyle="1" w:styleId="CommentTextChar">
    <w:name w:val="Comment Text Char"/>
    <w:basedOn w:val="DefaultParagraphFont"/>
    <w:link w:val="CommentText"/>
    <w:uiPriority w:val="99"/>
    <w:semiHidden/>
    <w:rsid w:val="00E6177D"/>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E6177D"/>
    <w:rPr>
      <w:b/>
      <w:bCs/>
    </w:rPr>
  </w:style>
  <w:style w:type="character" w:customStyle="1" w:styleId="CommentSubjectChar">
    <w:name w:val="Comment Subject Char"/>
    <w:basedOn w:val="CommentTextChar"/>
    <w:link w:val="CommentSubject"/>
    <w:uiPriority w:val="99"/>
    <w:semiHidden/>
    <w:rsid w:val="00E6177D"/>
    <w:rPr>
      <w:rFonts w:ascii="Calibri" w:hAnsi="Calibri" w:cs="Calibri"/>
      <w:b/>
      <w:bCs/>
      <w:sz w:val="20"/>
      <w:szCs w:val="20"/>
    </w:rPr>
  </w:style>
  <w:style w:type="character" w:customStyle="1" w:styleId="Heading3Char">
    <w:name w:val="Heading 3 Char"/>
    <w:basedOn w:val="DefaultParagraphFont"/>
    <w:link w:val="Heading3"/>
    <w:uiPriority w:val="9"/>
    <w:semiHidden/>
    <w:rsid w:val="00B66282"/>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492609"/>
    <w:pPr>
      <w:tabs>
        <w:tab w:val="center" w:pos="4680"/>
        <w:tab w:val="right" w:pos="9360"/>
      </w:tabs>
    </w:pPr>
  </w:style>
  <w:style w:type="character" w:customStyle="1" w:styleId="HeaderChar">
    <w:name w:val="Header Char"/>
    <w:basedOn w:val="DefaultParagraphFont"/>
    <w:link w:val="Header"/>
    <w:uiPriority w:val="99"/>
    <w:rsid w:val="00492609"/>
    <w:rPr>
      <w:rFonts w:ascii="Calibri" w:hAnsi="Calibri" w:cs="Calibri"/>
    </w:rPr>
  </w:style>
  <w:style w:type="paragraph" w:styleId="Footer">
    <w:name w:val="footer"/>
    <w:basedOn w:val="Normal"/>
    <w:link w:val="FooterChar"/>
    <w:uiPriority w:val="99"/>
    <w:unhideWhenUsed/>
    <w:rsid w:val="00492609"/>
    <w:pPr>
      <w:tabs>
        <w:tab w:val="center" w:pos="4680"/>
        <w:tab w:val="right" w:pos="9360"/>
      </w:tabs>
    </w:pPr>
  </w:style>
  <w:style w:type="character" w:customStyle="1" w:styleId="FooterChar">
    <w:name w:val="Footer Char"/>
    <w:basedOn w:val="DefaultParagraphFont"/>
    <w:link w:val="Footer"/>
    <w:uiPriority w:val="99"/>
    <w:rsid w:val="00492609"/>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913349">
      <w:bodyDiv w:val="1"/>
      <w:marLeft w:val="0"/>
      <w:marRight w:val="0"/>
      <w:marTop w:val="0"/>
      <w:marBottom w:val="0"/>
      <w:divBdr>
        <w:top w:val="none" w:sz="0" w:space="0" w:color="auto"/>
        <w:left w:val="none" w:sz="0" w:space="0" w:color="auto"/>
        <w:bottom w:val="none" w:sz="0" w:space="0" w:color="auto"/>
        <w:right w:val="none" w:sz="0" w:space="0" w:color="auto"/>
      </w:divBdr>
    </w:div>
    <w:div w:id="604312274">
      <w:bodyDiv w:val="1"/>
      <w:marLeft w:val="0"/>
      <w:marRight w:val="0"/>
      <w:marTop w:val="0"/>
      <w:marBottom w:val="0"/>
      <w:divBdr>
        <w:top w:val="none" w:sz="0" w:space="0" w:color="auto"/>
        <w:left w:val="none" w:sz="0" w:space="0" w:color="auto"/>
        <w:bottom w:val="none" w:sz="0" w:space="0" w:color="auto"/>
        <w:right w:val="none" w:sz="0" w:space="0" w:color="auto"/>
      </w:divBdr>
    </w:div>
    <w:div w:id="1868987221">
      <w:bodyDiv w:val="1"/>
      <w:marLeft w:val="0"/>
      <w:marRight w:val="0"/>
      <w:marTop w:val="0"/>
      <w:marBottom w:val="0"/>
      <w:divBdr>
        <w:top w:val="none" w:sz="0" w:space="0" w:color="auto"/>
        <w:left w:val="none" w:sz="0" w:space="0" w:color="auto"/>
        <w:bottom w:val="none" w:sz="0" w:space="0" w:color="auto"/>
        <w:right w:val="none" w:sz="0" w:space="0" w:color="auto"/>
      </w:divBdr>
      <w:divsChild>
        <w:div w:id="1353068223">
          <w:marLeft w:val="612"/>
          <w:marRight w:val="0"/>
          <w:marTop w:val="0"/>
          <w:marBottom w:val="0"/>
          <w:divBdr>
            <w:top w:val="none" w:sz="0" w:space="0" w:color="auto"/>
            <w:left w:val="none" w:sz="0" w:space="0" w:color="auto"/>
            <w:bottom w:val="none" w:sz="0" w:space="0" w:color="auto"/>
            <w:right w:val="none" w:sz="0" w:space="0" w:color="auto"/>
          </w:divBdr>
        </w:div>
      </w:divsChild>
    </w:div>
    <w:div w:id="196215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andbook.hspstandards.org/es/spher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herestandards.org/es/normas-humanitarias/cooperacion-de-normas-humanitaria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learning@spherestandards.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medium.com/@CRA1G/the-evolution-of-an-accidental-meme-ddc4e139e0e4"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andbook.hspstandards.org/es/sphe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Flow_SignoffStatus xmlns="1355b3f0-e072-4ae3-b261-722c43fa6e2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4" ma:contentTypeDescription="Create a new document." ma:contentTypeScope="" ma:versionID="5c062917d836063c078d70675bbb2748">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cb267351adbee37905e8c8ceca07b355"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DBDB3-D36C-43A1-B0B2-E724D25556E2}">
  <ds:schemaRefs>
    <ds:schemaRef ds:uri="http://schemas.microsoft.com/sharepoint/v3/contenttype/forms"/>
  </ds:schemaRefs>
</ds:datastoreItem>
</file>

<file path=customXml/itemProps2.xml><?xml version="1.0" encoding="utf-8"?>
<ds:datastoreItem xmlns:ds="http://schemas.openxmlformats.org/officeDocument/2006/customXml" ds:itemID="{CC434256-13A7-4DED-B86E-D90D086CC865}">
  <ds:schemaRefs>
    <ds:schemaRef ds:uri="http://schemas.openxmlformats.org/officeDocument/2006/bibliography"/>
  </ds:schemaRefs>
</ds:datastoreItem>
</file>

<file path=customXml/itemProps3.xml><?xml version="1.0" encoding="utf-8"?>
<ds:datastoreItem xmlns:ds="http://schemas.openxmlformats.org/officeDocument/2006/customXml" ds:itemID="{97963741-95CA-4495-B3FC-A3F1A70D5FBB}">
  <ds:schemaRefs>
    <ds:schemaRef ds:uri="http://schemas.microsoft.com/office/2006/metadata/properties"/>
    <ds:schemaRef ds:uri="http://schemas.microsoft.com/office/infopath/2007/PartnerControls"/>
    <ds:schemaRef ds:uri="1355b3f0-e072-4ae3-b261-722c43fa6e26"/>
  </ds:schemaRefs>
</ds:datastoreItem>
</file>

<file path=customXml/itemProps4.xml><?xml version="1.0" encoding="utf-8"?>
<ds:datastoreItem xmlns:ds="http://schemas.openxmlformats.org/officeDocument/2006/customXml" ds:itemID="{6422FC6E-D1C7-4C90-8FA8-922659A715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55b3f0-e072-4ae3-b261-722c43fa6e26"/>
    <ds:schemaRef ds:uri="9051fefc-2ea4-4620-a82b-61f19e316b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4</Pages>
  <Words>1019</Words>
  <Characters>5814</Characters>
  <Application>Microsoft Office Word</Application>
  <DocSecurity>0</DocSecurity>
  <Lines>48</Lines>
  <Paragraphs>13</Paragraphs>
  <ScaleCrop>false</ScaleCrop>
  <Company/>
  <LinksUpToDate>false</LinksUpToDate>
  <CharactersWithSpaces>6820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 Hale</dc:creator>
  <cp:keywords/>
  <dc:description/>
  <cp:lastModifiedBy>Tristan Hale</cp:lastModifiedBy>
  <cp:revision>217</cp:revision>
  <dcterms:created xsi:type="dcterms:W3CDTF">2021-07-14T14:19:00Z</dcterms:created>
  <dcterms:modified xsi:type="dcterms:W3CDTF">2021-09-24T06:53:00Z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0x01010040548E345B6D594AAA06BAD71EA843DF</vt:lpwstr>
  </property>
</Properties>
</file>