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C95C" w14:textId="0C5B90A3" w:rsidR="00B31B77" w:rsidRPr="00D225BD" w:rsidRDefault="00B31B77" w:rsidP="00B31B77">
      <w:pPr>
        <w:pStyle w:val="Heading1"/>
        <w:spacing w:before="80" w:after="80"/>
        <w:rPr>
          <w:rFonts w:ascii="Open Sans" w:hAnsi="Open Sans" w:cs="Open Sans"/>
          <w:color w:val="00A885"/>
          <w:sz w:val="28"/>
          <w:szCs w:val="28"/>
          <w:lang w:val="fr-FR"/>
        </w:rPr>
      </w:pPr>
      <w:r>
        <w:rPr>
          <w:rFonts w:ascii="Open Sans" w:hAnsi="Open Sans" w:cs="Open Sans"/>
          <w:b/>
          <w:bCs/>
          <w:color w:val="00A885"/>
          <w:sz w:val="28"/>
          <w:szCs w:val="28"/>
          <w:lang w:val="fr"/>
        </w:rPr>
        <w:t>Guide d’activité pédagogique « Les standards et les cibles » pour formateurs et formatrices</w:t>
      </w:r>
    </w:p>
    <w:p w14:paraId="35E9B466" w14:textId="2CEA9D49" w:rsidR="00B31B77" w:rsidRDefault="00E32F09" w:rsidP="00B31B77">
      <w:pPr>
        <w:rPr>
          <w:rFonts w:ascii="Open Sans" w:hAnsi="Open Sans" w:cs="Open Sans"/>
          <w:color w:val="00A885"/>
          <w:sz w:val="23"/>
          <w:szCs w:val="23"/>
        </w:rPr>
      </w:pPr>
      <w:r>
        <w:rPr>
          <w:noProof/>
          <w:lang w:val="fr"/>
        </w:rPr>
        <w:drawing>
          <wp:inline distT="0" distB="0" distL="0" distR="0" wp14:anchorId="3FA0C952" wp14:editId="08FA255E">
            <wp:extent cx="5733415" cy="1080135"/>
            <wp:effectExtent l="0" t="0" r="635" b="5715"/>
            <wp:docPr id="10" name="Picture 10"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a:blip r:embed="rId11"/>
                    <a:stretch>
                      <a:fillRect/>
                    </a:stretch>
                  </pic:blipFill>
                  <pic:spPr>
                    <a:xfrm>
                      <a:off x="0" y="0"/>
                      <a:ext cx="5733415" cy="1080135"/>
                    </a:xfrm>
                    <a:prstGeom prst="rect">
                      <a:avLst/>
                    </a:prstGeom>
                  </pic:spPr>
                </pic:pic>
              </a:graphicData>
            </a:graphic>
          </wp:inline>
        </w:drawing>
      </w:r>
    </w:p>
    <w:p w14:paraId="62C267E3" w14:textId="77777777" w:rsidR="000F03F9" w:rsidRPr="004E35C4" w:rsidRDefault="000F03F9" w:rsidP="00B31B77">
      <w:pPr>
        <w:rPr>
          <w:rFonts w:ascii="Open Sans" w:hAnsi="Open Sans" w:cs="Open Sans"/>
          <w:color w:val="00A885"/>
          <w:sz w:val="23"/>
          <w:szCs w:val="23"/>
        </w:rPr>
      </w:pPr>
    </w:p>
    <w:p w14:paraId="61BA8F0F" w14:textId="77777777" w:rsidR="00B31B77" w:rsidRPr="00D225BD" w:rsidRDefault="00B31B77" w:rsidP="00B31B77">
      <w:pPr>
        <w:pStyle w:val="Heading2"/>
        <w:spacing w:before="80" w:after="80"/>
        <w:rPr>
          <w:rFonts w:ascii="Open Sans" w:hAnsi="Open Sans" w:cs="Open Sans"/>
          <w:color w:val="00A885"/>
          <w:sz w:val="23"/>
          <w:szCs w:val="23"/>
          <w:lang w:val="fr-FR"/>
        </w:rPr>
      </w:pPr>
      <w:r>
        <w:rPr>
          <w:rFonts w:ascii="Open Sans" w:hAnsi="Open Sans" w:cs="Open Sans"/>
          <w:b/>
          <w:bCs/>
          <w:color w:val="00A885"/>
          <w:sz w:val="23"/>
          <w:szCs w:val="23"/>
          <w:lang w:val="fr"/>
        </w:rPr>
        <w:t>Contexte</w:t>
      </w:r>
    </w:p>
    <w:p w14:paraId="4D0F22C4" w14:textId="6ECF03D0" w:rsidR="00B31B77" w:rsidRPr="00D225BD" w:rsidRDefault="00D225BD" w:rsidP="00B31B77">
      <w:pPr>
        <w:pStyle w:val="NormalWeb"/>
        <w:spacing w:before="80" w:beforeAutospacing="0" w:after="80" w:afterAutospacing="0"/>
        <w:rPr>
          <w:rFonts w:ascii="Open Sans" w:hAnsi="Open Sans" w:cs="Open Sans"/>
          <w:color w:val="000000"/>
          <w:sz w:val="22"/>
          <w:szCs w:val="22"/>
          <w:lang w:val="fr-FR"/>
        </w:rPr>
      </w:pPr>
      <w:r>
        <w:rPr>
          <w:rFonts w:ascii="Open Sans" w:hAnsi="Open Sans" w:cs="Open Sans"/>
          <w:color w:val="000000"/>
          <w:sz w:val="22"/>
          <w:szCs w:val="22"/>
          <w:lang w:val="fr"/>
        </w:rPr>
        <w:t>L</w:t>
      </w:r>
      <w:r w:rsidR="00B31B77">
        <w:rPr>
          <w:rFonts w:ascii="Open Sans" w:hAnsi="Open Sans" w:cs="Open Sans"/>
          <w:color w:val="000000"/>
          <w:sz w:val="22"/>
          <w:szCs w:val="22"/>
          <w:lang w:val="fr"/>
        </w:rPr>
        <w:t xml:space="preserve">orsque l’on utilise les standards humanitaires, et notamment ceux </w:t>
      </w:r>
      <w:r>
        <w:rPr>
          <w:rFonts w:ascii="Open Sans" w:hAnsi="Open Sans" w:cs="Open Sans"/>
          <w:color w:val="000000"/>
          <w:sz w:val="22"/>
          <w:szCs w:val="22"/>
          <w:lang w:val="fr"/>
        </w:rPr>
        <w:t>du</w:t>
      </w:r>
      <w:r w:rsidR="00B31B77">
        <w:rPr>
          <w:rFonts w:ascii="Open Sans" w:hAnsi="Open Sans" w:cs="Open Sans"/>
          <w:color w:val="000000"/>
          <w:sz w:val="22"/>
          <w:szCs w:val="22"/>
          <w:lang w:val="fr"/>
        </w:rPr>
        <w:t xml:space="preserve"> </w:t>
      </w:r>
      <w:hyperlink r:id="rId12" w:history="1">
        <w:r w:rsidR="00B31B77">
          <w:rPr>
            <w:rStyle w:val="Hyperlink"/>
            <w:rFonts w:ascii="Open Sans" w:hAnsi="Open Sans" w:cs="Open Sans"/>
            <w:sz w:val="22"/>
            <w:szCs w:val="22"/>
            <w:lang w:val="fr"/>
          </w:rPr>
          <w:t>Partenariat pour les standards humanitaires</w:t>
        </w:r>
      </w:hyperlink>
      <w:r w:rsidR="00B31B77">
        <w:rPr>
          <w:rFonts w:ascii="Open Sans" w:hAnsi="Open Sans" w:cs="Open Sans"/>
          <w:color w:val="000000"/>
          <w:sz w:val="22"/>
          <w:szCs w:val="22"/>
          <w:lang w:val="fr"/>
        </w:rPr>
        <w:t xml:space="preserve"> (HSP), </w:t>
      </w:r>
      <w:r>
        <w:rPr>
          <w:rFonts w:ascii="Open Sans" w:hAnsi="Open Sans" w:cs="Open Sans"/>
          <w:color w:val="000000"/>
          <w:sz w:val="22"/>
          <w:szCs w:val="22"/>
          <w:lang w:val="fr"/>
        </w:rPr>
        <w:t xml:space="preserve">il est important </w:t>
      </w:r>
      <w:r w:rsidR="00B31B77">
        <w:rPr>
          <w:rFonts w:ascii="Open Sans" w:hAnsi="Open Sans" w:cs="Open Sans"/>
          <w:color w:val="000000"/>
          <w:sz w:val="22"/>
          <w:szCs w:val="22"/>
          <w:lang w:val="fr"/>
        </w:rPr>
        <w:t xml:space="preserve">de savoir distinguer les standards des cibles. Les </w:t>
      </w:r>
      <w:r w:rsidR="00B31B77">
        <w:rPr>
          <w:rFonts w:ascii="Open Sans" w:hAnsi="Open Sans" w:cs="Open Sans"/>
          <w:b/>
          <w:bCs/>
          <w:color w:val="000000"/>
          <w:sz w:val="22"/>
          <w:szCs w:val="22"/>
          <w:lang w:val="fr"/>
        </w:rPr>
        <w:t>standards</w:t>
      </w:r>
      <w:r w:rsidR="00B31B77">
        <w:rPr>
          <w:rFonts w:ascii="Open Sans" w:hAnsi="Open Sans" w:cs="Open Sans"/>
          <w:color w:val="000000"/>
          <w:sz w:val="22"/>
          <w:szCs w:val="22"/>
          <w:lang w:val="fr"/>
        </w:rPr>
        <w:t xml:space="preserve"> sont des énoncés de droits humains qualitatifs, qui s’appliquent dans toute situation. Les </w:t>
      </w:r>
      <w:r w:rsidR="00B31B77">
        <w:rPr>
          <w:rFonts w:ascii="Open Sans" w:hAnsi="Open Sans" w:cs="Open Sans"/>
          <w:b/>
          <w:bCs/>
          <w:color w:val="000000"/>
          <w:sz w:val="22"/>
          <w:szCs w:val="22"/>
          <w:lang w:val="fr"/>
        </w:rPr>
        <w:t>cibles</w:t>
      </w:r>
      <w:r w:rsidR="00B31B77">
        <w:rPr>
          <w:rFonts w:ascii="Open Sans" w:hAnsi="Open Sans" w:cs="Open Sans"/>
          <w:color w:val="000000"/>
          <w:sz w:val="22"/>
          <w:szCs w:val="22"/>
          <w:lang w:val="fr"/>
        </w:rPr>
        <w:t>, quant à elle</w:t>
      </w:r>
      <w:r>
        <w:rPr>
          <w:rFonts w:ascii="Open Sans" w:hAnsi="Open Sans" w:cs="Open Sans"/>
          <w:color w:val="000000"/>
          <w:sz w:val="22"/>
          <w:szCs w:val="22"/>
          <w:lang w:val="fr"/>
        </w:rPr>
        <w:t>s</w:t>
      </w:r>
      <w:r w:rsidR="00B31B77">
        <w:rPr>
          <w:rFonts w:ascii="Open Sans" w:hAnsi="Open Sans" w:cs="Open Sans"/>
          <w:color w:val="000000"/>
          <w:sz w:val="22"/>
          <w:szCs w:val="22"/>
          <w:lang w:val="fr"/>
        </w:rPr>
        <w:t>, sont des valeurs quantitatives associées à certains indicateurs, qui peuvent signaler un problème lorsqu’elles ne sont pas atteintes, et doivent donc être envisagées en contexte.</w:t>
      </w:r>
    </w:p>
    <w:p w14:paraId="4168AF26" w14:textId="3F7079A0" w:rsidR="00F7489F" w:rsidRPr="00D225BD" w:rsidRDefault="00F7489F" w:rsidP="00B31B77">
      <w:pPr>
        <w:pStyle w:val="NormalWeb"/>
        <w:spacing w:before="80" w:beforeAutospacing="0" w:after="80" w:afterAutospacing="0"/>
        <w:rPr>
          <w:rFonts w:ascii="Open Sans" w:hAnsi="Open Sans" w:cs="Open Sans"/>
          <w:color w:val="000000"/>
          <w:sz w:val="22"/>
          <w:szCs w:val="22"/>
          <w:lang w:val="fr-FR"/>
        </w:rPr>
      </w:pPr>
      <w:r>
        <w:rPr>
          <w:rFonts w:ascii="Open Sans" w:hAnsi="Open Sans" w:cs="Open Sans"/>
          <w:color w:val="000000"/>
          <w:sz w:val="22"/>
          <w:szCs w:val="22"/>
          <w:lang w:val="fr"/>
        </w:rPr>
        <w:t xml:space="preserve">La </w:t>
      </w:r>
      <w:r>
        <w:rPr>
          <w:rFonts w:ascii="Open Sans" w:hAnsi="Open Sans" w:cs="Open Sans"/>
          <w:b/>
          <w:bCs/>
          <w:color w:val="000000"/>
          <w:sz w:val="22"/>
          <w:szCs w:val="22"/>
          <w:lang w:val="fr"/>
        </w:rPr>
        <w:t>cible</w:t>
      </w:r>
      <w:r>
        <w:rPr>
          <w:rFonts w:ascii="Open Sans" w:hAnsi="Open Sans" w:cs="Open Sans"/>
          <w:color w:val="000000"/>
          <w:sz w:val="22"/>
          <w:szCs w:val="22"/>
          <w:lang w:val="fr"/>
        </w:rPr>
        <w:t xml:space="preserve"> la plus connue du manuel Sphère est probablement le « Minimum de 15 litres par personne et par jour » (Standard </w:t>
      </w:r>
      <w:hyperlink r:id="rId13" w:anchor="ch001" w:history="1">
        <w:r>
          <w:rPr>
            <w:rStyle w:val="Hyperlink"/>
            <w:rFonts w:ascii="Open Sans" w:hAnsi="Open Sans" w:cs="Open Sans"/>
            <w:sz w:val="22"/>
            <w:szCs w:val="22"/>
            <w:lang w:val="fr"/>
          </w:rPr>
          <w:t>Accès à l’eau et quantité</w:t>
        </w:r>
      </w:hyperlink>
      <w:r>
        <w:rPr>
          <w:rFonts w:ascii="Open Sans" w:hAnsi="Open Sans" w:cs="Open Sans"/>
          <w:color w:val="000000"/>
          <w:sz w:val="22"/>
          <w:szCs w:val="22"/>
          <w:lang w:val="fr"/>
        </w:rPr>
        <w:t>, page 122).</w:t>
      </w:r>
    </w:p>
    <w:p w14:paraId="58F6B568" w14:textId="57F93B0B" w:rsidR="00A00D56" w:rsidRPr="00D225BD" w:rsidRDefault="000E7408" w:rsidP="00B31B77">
      <w:pPr>
        <w:pStyle w:val="NormalWeb"/>
        <w:spacing w:before="80" w:beforeAutospacing="0" w:after="80" w:afterAutospacing="0"/>
        <w:rPr>
          <w:rFonts w:ascii="Open Sans" w:hAnsi="Open Sans" w:cs="Open Sans"/>
          <w:color w:val="000000"/>
          <w:sz w:val="22"/>
          <w:szCs w:val="22"/>
          <w:lang w:val="fr-FR"/>
        </w:rPr>
      </w:pPr>
      <w:r>
        <w:rPr>
          <w:rFonts w:ascii="Open Sans" w:hAnsi="Open Sans" w:cs="Open Sans"/>
          <w:noProof/>
          <w:sz w:val="22"/>
          <w:szCs w:val="22"/>
          <w:lang w:val="fr"/>
        </w:rPr>
        <mc:AlternateContent>
          <mc:Choice Requires="wps">
            <w:drawing>
              <wp:anchor distT="0" distB="0" distL="114300" distR="114300" simplePos="0" relativeHeight="251665408" behindDoc="0" locked="0" layoutInCell="1" allowOverlap="1" wp14:anchorId="16C0861C" wp14:editId="236B73D9">
                <wp:simplePos x="0" y="0"/>
                <wp:positionH relativeFrom="column">
                  <wp:posOffset>-600075</wp:posOffset>
                </wp:positionH>
                <wp:positionV relativeFrom="paragraph">
                  <wp:posOffset>1681480</wp:posOffset>
                </wp:positionV>
                <wp:extent cx="951675" cy="553444"/>
                <wp:effectExtent l="0" t="19050" r="39370" b="37465"/>
                <wp:wrapNone/>
                <wp:docPr id="6" name="Arrow: Left 6"/>
                <wp:cNvGraphicFramePr/>
                <a:graphic xmlns:a="http://schemas.openxmlformats.org/drawingml/2006/main">
                  <a:graphicData uri="http://schemas.microsoft.com/office/word/2010/wordprocessingShape">
                    <wps:wsp>
                      <wps:cNvSpPr/>
                      <wps:spPr>
                        <a:xfrm flipH="1">
                          <a:off x="0" y="0"/>
                          <a:ext cx="951675"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4D67DE" w14:textId="6F7A5ECA" w:rsidR="004E3F44" w:rsidRDefault="004E3F44" w:rsidP="004E3F44">
                            <w:pPr>
                              <w:contextualSpacing/>
                              <w:jc w:val="center"/>
                            </w:pPr>
                            <w:r>
                              <w:rPr>
                                <w:lang w:val="fr"/>
                              </w:rPr>
                              <w:t>Indicateur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C0861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6" o:spid="_x0000_s1026" type="#_x0000_t66" style="position:absolute;margin-left:-47.25pt;margin-top:132.4pt;width:74.95pt;height:43.6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R26hAIAAFQFAAAOAAAAZHJzL2Uyb0RvYy54bWysVMFu2zAMvQ/YPwi6r06yJF2NOkXQotuA&#10;oC3WDj0rslQbkEWNUmJnXz9KdtyiLXYY5oNBiuQTST3y/KJrDNsr9DXYgk9PJpwpK6Gs7VPBfz5c&#10;f/rCmQ/ClsKAVQU/KM8vVh8/nLcuVzOowJQKGYFYn7eu4FUILs8yLyvVCH8CTlkyasBGBFLxKStR&#10;tITemGw2mSyzFrB0CFJ5T6dXvZGvEr7WSoZbrb0KzBSccgvpj+m/jf9sdS7yJxSuquWQhviHLBpR&#10;W7p0hLoSQbAd1m+gmloieNDhREKTgda1VKkGqmY6eVXNfSWcSrVQc7wb2+T/H6y82d8hq8uCLzmz&#10;oqEnWiNCm7ON0oEtY4Na53Pyu3d3OGiexFhtp7Fh2tTuG719qp8qYl1q72Fsr+oCk3R4tpguTxec&#10;STItFp/n83lEz3qYCOfQh68KGhaFghvKICWTkMV+40Pvf/Sj4Jhbn02SwsGoiGTsD6WpLLp1lqIT&#10;odSlQbYXRAUhpbKhT9lXolT98WJC35DUGJFSTIARWdfGjNgDQCTrW+w+18E/hqrExzF48rfE+uAx&#10;It0MNozBTW0B3wMwVNVwc+9/bFLfmtil0G07coniFsoDvT9CPxjeyeuaer8RPtwJpEmgmaHpDrf0&#10;0wbagsMgcVYB/n7vPPoTQcnKWUuTVXD/aydQcWa+W6Lu2XQ+j6OYlPnidEYKvrRsX1rsrrkEerEp&#10;7REnkxj9gzmKGqF5pCWwjreSSVhJdxdcBjwql6GfeFojUq3XyY3Gz4mwsfdOHrkbafXQPQp0AwED&#10;MfcGjlMo8lcU7H3j01hY7wLoOvHzua9D62l0E4eGNRN3w0s9eT0vw9UfAAAA//8DAFBLAwQUAAYA&#10;CAAAACEAaFdo3OEAAAAKAQAADwAAAGRycy9kb3ducmV2LnhtbEyPQU7DMBBF90jcwRokdq1DSCoa&#10;MqlKISskUEoP4MZDEojHIXbbcPuaVVmO5un/9/PVZHpxpNF1lhHu5hEI4trqjhuE3Uc5ewDhvGKt&#10;esuE8EsOVsX1Va4ybU9c0XHrGxFC2GUKofV+yKR0dUtGubkdiMPv045G+XCOjdSjOoVw08s4ihbS&#10;qI5DQ6sG2rRUf28PBuFps4zL96+X+rWp3tZD9bN7LqcI8fZmWj+C8DT5Cwx/+kEdiuC0twfWTvQI&#10;s2WSBhQhXiRhQyDSNAGxR7hP4whkkcv/E4ozAAAA//8DAFBLAQItABQABgAIAAAAIQC2gziS/gAA&#10;AOEBAAATAAAAAAAAAAAAAAAAAAAAAABbQ29udGVudF9UeXBlc10ueG1sUEsBAi0AFAAGAAgAAAAh&#10;ADj9If/WAAAAlAEAAAsAAAAAAAAAAAAAAAAALwEAAF9yZWxzLy5yZWxzUEsBAi0AFAAGAAgAAAAh&#10;ADzZHbqEAgAAVAUAAA4AAAAAAAAAAAAAAAAALgIAAGRycy9lMm9Eb2MueG1sUEsBAi0AFAAGAAgA&#10;AAAhAGhXaNzhAAAACgEAAA8AAAAAAAAAAAAAAAAA3gQAAGRycy9kb3ducmV2LnhtbFBLBQYAAAAA&#10;BAAEAPMAAADsBQAAAAA=&#10;" adj="6281" fillcolor="#4472c4 [3204]" strokecolor="#1f3763 [1604]" strokeweight="1pt">
                <v:textbox>
                  <w:txbxContent>
                    <w:p w14:paraId="2B4D67DE" w14:textId="6F7A5ECA" w:rsidR="004E3F44" w:rsidRDefault="004E3F44" w:rsidP="004E3F44">
                      <w:pPr>
                        <w:contextualSpacing/>
                        <w:jc w:val="center"/>
                      </w:pPr>
                      <w:r>
                        <w:rPr>
                          <w:lang w:val="fr"/>
                        </w:rPr>
                        <w:t>Indicateur</w:t>
                      </w:r>
                    </w:p>
                  </w:txbxContent>
                </v:textbox>
              </v:shape>
            </w:pict>
          </mc:Fallback>
        </mc:AlternateContent>
      </w: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F7489F" w:rsidRPr="00D225BD" w14:paraId="303FE02A" w14:textId="77777777" w:rsidTr="00CE42BC">
        <w:trPr>
          <w:trHeight w:val="1797"/>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0C76C19C" w14:textId="77777777" w:rsidR="003A7AFA" w:rsidRPr="00D225BD" w:rsidRDefault="003A7AFA" w:rsidP="003A7AFA">
            <w:pPr>
              <w:pStyle w:val="NormalWeb"/>
              <w:spacing w:before="120" w:beforeAutospacing="0" w:after="0" w:afterAutospacing="0"/>
              <w:ind w:left="158"/>
              <w:rPr>
                <w:rFonts w:ascii="Open Sans Semibold" w:hAnsi="Open Sans Semibold" w:cs="Open Sans Semibold"/>
                <w:color w:val="00A885"/>
                <w:sz w:val="22"/>
                <w:szCs w:val="22"/>
                <w:lang w:val="fr-FR"/>
              </w:rPr>
            </w:pPr>
            <w:r>
              <w:rPr>
                <w:rFonts w:ascii="Open Sans Semibold" w:hAnsi="Open Sans Semibold" w:cs="Open Sans Semibold"/>
                <w:color w:val="00A885"/>
                <w:sz w:val="22"/>
                <w:szCs w:val="22"/>
                <w:lang w:val="fr"/>
              </w:rPr>
              <w:t>Standard 2.1 sur l’approvisionnement en eau :</w:t>
            </w:r>
            <w:r>
              <w:rPr>
                <w:rFonts w:ascii="Open Sans Semibold" w:hAnsi="Open Sans Semibold" w:cs="Open Sans Semibold"/>
                <w:color w:val="00A885"/>
                <w:sz w:val="22"/>
                <w:szCs w:val="22"/>
                <w:lang w:val="fr"/>
              </w:rPr>
              <w:br/>
              <w:t>Accès à l’eau et quantité</w:t>
            </w:r>
          </w:p>
          <w:p w14:paraId="7F530DA8" w14:textId="53E4D2C5" w:rsidR="00F7489F" w:rsidRPr="00D225BD" w:rsidRDefault="003A7AFA" w:rsidP="003A7AFA">
            <w:pPr>
              <w:pStyle w:val="NormalWeb"/>
              <w:spacing w:before="60" w:beforeAutospacing="0" w:after="0" w:afterAutospacing="0"/>
              <w:ind w:left="158"/>
              <w:rPr>
                <w:rFonts w:ascii="Open Sans" w:hAnsi="Open Sans" w:cs="Open Sans"/>
                <w:sz w:val="22"/>
                <w:szCs w:val="22"/>
                <w:lang w:val="fr-FR"/>
              </w:rPr>
            </w:pPr>
            <w:r>
              <w:rPr>
                <w:rFonts w:ascii="Open Sans" w:hAnsi="Open Sans" w:cs="Open Sans"/>
                <w:sz w:val="22"/>
                <w:szCs w:val="22"/>
                <w:lang w:val="fr"/>
              </w:rPr>
              <w:t>Les personnes ont un accès équitable et abordable à de l’eau salubre et en quantité suffisante pour couvrir les besoins d’hydratation et les besoins domestiques.</w:t>
            </w:r>
          </w:p>
        </w:tc>
      </w:tr>
      <w:tr w:rsidR="00F7489F" w:rsidRPr="00D225BD" w14:paraId="2D55E547" w14:textId="77777777" w:rsidTr="006C0F70">
        <w:trPr>
          <w:trHeight w:val="1761"/>
        </w:trPr>
        <w:tc>
          <w:tcPr>
            <w:tcW w:w="8195" w:type="dxa"/>
            <w:tcBorders>
              <w:top w:val="single" w:sz="12" w:space="0" w:color="00A885"/>
            </w:tcBorders>
            <w:tcMar>
              <w:top w:w="0" w:type="dxa"/>
              <w:left w:w="108" w:type="dxa"/>
              <w:bottom w:w="0" w:type="dxa"/>
              <w:right w:w="108" w:type="dxa"/>
            </w:tcMar>
          </w:tcPr>
          <w:p w14:paraId="1D878819" w14:textId="028FD735" w:rsidR="00F7489F" w:rsidRPr="00D225BD" w:rsidRDefault="00F7489F" w:rsidP="00FE1047">
            <w:pPr>
              <w:pStyle w:val="NormalWeb"/>
              <w:spacing w:before="160" w:beforeAutospacing="0" w:after="80" w:afterAutospacing="0"/>
              <w:ind w:left="161"/>
              <w:rPr>
                <w:rFonts w:ascii="Open Sans Semibold" w:hAnsi="Open Sans Semibold" w:cs="Open Sans Semibold"/>
                <w:color w:val="00A885"/>
                <w:sz w:val="22"/>
                <w:szCs w:val="22"/>
                <w:lang w:val="fr-FR"/>
              </w:rPr>
            </w:pPr>
            <w:r>
              <w:rPr>
                <w:rFonts w:ascii="Open Sans Semibold" w:hAnsi="Open Sans Semibold" w:cs="Open Sans Semibold"/>
                <w:color w:val="00A885"/>
                <w:sz w:val="22"/>
                <w:szCs w:val="22"/>
                <w:lang w:val="fr"/>
              </w:rPr>
              <w:t>Indicateurs clés</w:t>
            </w:r>
          </w:p>
          <w:p w14:paraId="737CDC94" w14:textId="0F5B0C6F" w:rsidR="00F7489F" w:rsidRPr="00D225BD" w:rsidRDefault="00A20E4D" w:rsidP="00FE1047">
            <w:pPr>
              <w:pStyle w:val="NormalWeb"/>
              <w:spacing w:before="80" w:beforeAutospacing="0" w:after="80" w:afterAutospacing="0"/>
              <w:ind w:left="161"/>
              <w:rPr>
                <w:rFonts w:ascii="Open Sans" w:hAnsi="Open Sans" w:cs="Open Sans"/>
                <w:b/>
                <w:bCs/>
                <w:sz w:val="22"/>
                <w:szCs w:val="22"/>
                <w:lang w:val="fr-FR"/>
              </w:rPr>
            </w:pPr>
            <w:r>
              <w:rPr>
                <w:rFonts w:ascii="Open Sans" w:hAnsi="Open Sans" w:cs="Open Sans"/>
                <w:noProof/>
                <w:sz w:val="22"/>
                <w:szCs w:val="22"/>
                <w:lang w:val="fr"/>
              </w:rPr>
              <mc:AlternateContent>
                <mc:Choice Requires="wps">
                  <w:drawing>
                    <wp:anchor distT="0" distB="0" distL="114300" distR="114300" simplePos="0" relativeHeight="251667456" behindDoc="0" locked="0" layoutInCell="1" allowOverlap="1" wp14:anchorId="2D6269F6" wp14:editId="2E01C891">
                      <wp:simplePos x="0" y="0"/>
                      <wp:positionH relativeFrom="column">
                        <wp:posOffset>3420469</wp:posOffset>
                      </wp:positionH>
                      <wp:positionV relativeFrom="paragraph">
                        <wp:posOffset>267942</wp:posOffset>
                      </wp:positionV>
                      <wp:extent cx="871496" cy="553444"/>
                      <wp:effectExtent l="19050" t="19050" r="24130" b="37465"/>
                      <wp:wrapNone/>
                      <wp:docPr id="8" name="Arrow: Left 8"/>
                      <wp:cNvGraphicFramePr/>
                      <a:graphic xmlns:a="http://schemas.openxmlformats.org/drawingml/2006/main">
                        <a:graphicData uri="http://schemas.microsoft.com/office/word/2010/wordprocessingShape">
                          <wps:wsp>
                            <wps:cNvSpPr/>
                            <wps:spPr>
                              <a:xfrm>
                                <a:off x="0" y="0"/>
                                <a:ext cx="871496"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6388FF" w14:textId="44F4B456" w:rsidR="00C95DEA" w:rsidRDefault="00C95DEA" w:rsidP="00C95DEA">
                                  <w:pPr>
                                    <w:contextualSpacing/>
                                    <w:jc w:val="center"/>
                                  </w:pPr>
                                  <w:r>
                                    <w:rPr>
                                      <w:lang w:val="fr"/>
                                    </w:rPr>
                                    <w:t>Cible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269F6" id="Arrow: Left 8" o:spid="_x0000_s1027" type="#_x0000_t66" style="position:absolute;left:0;text-align:left;margin-left:269.35pt;margin-top:21.1pt;width:68.6pt;height:4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9cfgIAAFEFAAAOAAAAZHJzL2Uyb0RvYy54bWysVEtv2zAMvg/YfxB0X51kTh9GnSJo0WFA&#10;0AZrh54VWaoNyKJGKXGyXz9KdtyiLXYY5oNMieTHNy+v9q1hO4W+AVvy6cmEM2UlVI19LvnPx9sv&#10;55z5IGwlDFhV8oPy/Grx+dNl5wo1gxpMpZARiPVF50peh+CKLPOyVq3wJ+CUJaYGbEWgKz5nFYqO&#10;0FuTzSaT06wDrByCVN7T603P5IuEr7WS4V5rrwIzJSffQjoxnZt4ZotLUTyjcHUjBzfEP3jRisaS&#10;0RHqRgTBtti8g2obieBBhxMJbQZaN1KlGCia6eRNNA+1cCrFQsnxbkyT/3+w8m63RtZUJadCWdFS&#10;iZaI0BVspXRg5zFBnfMFyT24NQ43T2SMdq+xjX+Kg+1TUg9jUtU+MEmP52fT/OKUM0ms+fxrnucR&#10;M3tRdujDNwUti0TJDdlNLqR8it3Kh17+KEfK0aPeh0SFg1HRDWN/KE3BkNVZ0k5tpK4Nsp2gBhBS&#10;KhumPasWleqf5xP6BqdGjeRiAozIujFmxB4AYou+x+59HeSjqkpdOCpP/uZYrzxqJMtgw6jcNhbw&#10;IwBDUQ2We/ljkvrUxCyF/WafCp0k48sGqgMVH6GfCu/kbUMlWAkf1gJpDGhgaLTDPR3aQFdyGCjO&#10;asDfH71HeepO4nLW0ViV3P/aClScme+W+vZimudxDtMln5/N6IKvOZvXHLttr4EKN6Ul4mQio3ww&#10;R1IjtE+0AZbRKrGElWS75DLg8XId+nGnHSLVcpnEaPacCCv74GQEj3mO3fW4fxLohj4M1MB3cBxB&#10;UbzpxF42alpYbgPoJrXpS16HCtDcplYadkxcDK/vSeplEy7+AAAA//8DAFBLAwQUAAYACAAAACEA&#10;2jZPyuEAAAAKAQAADwAAAGRycy9kb3ducmV2LnhtbEyPwU7DMBBE70j8g7VI3KjT0LptGqdClUAg&#10;LhCK1KMTb+OI2I5ipw1/z3KC42qeZt7mu8l27IxDaL2TMJ8lwNDVXreukXD4eLxbAwtROa0671DC&#10;NwbYFddXucq0v7h3PJexYVTiQqYkmBj7jPNQG7QqzHyPjrKTH6yKdA4N14O6ULnteJokglvVOlow&#10;qse9wfqrHK2E0/jE90a8PR9f6mkuPstXcagGKW9vpoctsIhT/IPhV5/UoSCnyo9OB9ZJWN6vV4RK&#10;WKQpMALEarkBVhGZbhbAi5z/f6H4AQAA//8DAFBLAQItABQABgAIAAAAIQC2gziS/gAAAOEBAAAT&#10;AAAAAAAAAAAAAAAAAAAAAABbQ29udGVudF9UeXBlc10ueG1sUEsBAi0AFAAGAAgAAAAhADj9If/W&#10;AAAAlAEAAAsAAAAAAAAAAAAAAAAALwEAAF9yZWxzLy5yZWxzUEsBAi0AFAAGAAgAAAAhAIj+z1x+&#10;AgAAUQUAAA4AAAAAAAAAAAAAAAAALgIAAGRycy9lMm9Eb2MueG1sUEsBAi0AFAAGAAgAAAAhANo2&#10;T8rhAAAACgEAAA8AAAAAAAAAAAAAAAAA2AQAAGRycy9kb3ducmV2LnhtbFBLBQYAAAAABAAEAPMA&#10;AADmBQAAAAA=&#10;" adj="6859" fillcolor="#4472c4 [3204]" strokecolor="#1f3763 [1604]" strokeweight="1pt">
                      <v:textbox>
                        <w:txbxContent>
                          <w:p w14:paraId="116388FF" w14:textId="44F4B456" w:rsidR="00C95DEA" w:rsidRDefault="00C95DEA" w:rsidP="00C95DEA">
                            <w:pPr>
                              <w:contextualSpacing/>
                              <w:jc w:val="center"/>
                            </w:pPr>
                            <w:r>
                              <w:rPr>
                                <w:lang w:val="fr"/>
                              </w:rPr>
                              <w:t>Cible</w:t>
                            </w:r>
                          </w:p>
                        </w:txbxContent>
                      </v:textbox>
                    </v:shape>
                  </w:pict>
                </mc:Fallback>
              </mc:AlternateContent>
            </w:r>
            <w:r>
              <w:rPr>
                <w:rFonts w:ascii="Open Sans" w:hAnsi="Open Sans" w:cs="Open Sans"/>
                <w:b/>
                <w:bCs/>
                <w:sz w:val="22"/>
                <w:szCs w:val="22"/>
                <w:lang w:val="fr"/>
              </w:rPr>
              <w:t>Volume moyen d’eau utilisé par un foyer pour la boisson et l’hygiène domestique</w:t>
            </w:r>
          </w:p>
          <w:p w14:paraId="18270E22" w14:textId="561A6BA3" w:rsidR="00F7489F" w:rsidRPr="00D225BD" w:rsidRDefault="006C0F70" w:rsidP="00FE1047">
            <w:pPr>
              <w:pStyle w:val="NormalWeb"/>
              <w:numPr>
                <w:ilvl w:val="0"/>
                <w:numId w:val="26"/>
              </w:numPr>
              <w:spacing w:before="80" w:beforeAutospacing="0" w:after="80" w:afterAutospacing="0"/>
              <w:rPr>
                <w:rFonts w:ascii="Open Sans Semibold" w:hAnsi="Open Sans Semibold" w:cs="Open Sans Semibold"/>
                <w:color w:val="00A885"/>
                <w:sz w:val="22"/>
                <w:szCs w:val="22"/>
                <w:lang w:val="fr-FR"/>
              </w:rPr>
            </w:pPr>
            <w:r>
              <w:rPr>
                <w:rFonts w:ascii="Open Sans" w:hAnsi="Open Sans" w:cs="Open Sans"/>
                <w:sz w:val="22"/>
                <w:szCs w:val="22"/>
                <w:lang w:val="fr"/>
              </w:rPr>
              <w:t>Minimum de 15 litres par personne et par jour</w:t>
            </w:r>
          </w:p>
        </w:tc>
      </w:tr>
    </w:tbl>
    <w:p w14:paraId="38626DE1" w14:textId="7AB9D9B9" w:rsidR="00E0335C" w:rsidRPr="00D225BD" w:rsidRDefault="00E0335C" w:rsidP="00B31B77">
      <w:pPr>
        <w:pStyle w:val="NormalWeb"/>
        <w:spacing w:before="80" w:beforeAutospacing="0" w:after="80" w:afterAutospacing="0"/>
        <w:rPr>
          <w:rFonts w:ascii="Open Sans" w:hAnsi="Open Sans" w:cs="Open Sans"/>
          <w:sz w:val="22"/>
          <w:szCs w:val="22"/>
          <w:lang w:val="fr-FR"/>
        </w:rPr>
      </w:pPr>
    </w:p>
    <w:p w14:paraId="51B795BD" w14:textId="345A5712" w:rsidR="000E7408" w:rsidRPr="00D225BD" w:rsidRDefault="007416E4" w:rsidP="00B31B77">
      <w:pPr>
        <w:pStyle w:val="NormalWeb"/>
        <w:spacing w:before="80" w:beforeAutospacing="0" w:after="80" w:afterAutospacing="0"/>
        <w:rPr>
          <w:rFonts w:ascii="Open Sans" w:hAnsi="Open Sans" w:cs="Open Sans"/>
          <w:sz w:val="22"/>
          <w:szCs w:val="22"/>
          <w:lang w:val="fr-FR"/>
        </w:rPr>
      </w:pPr>
      <w:r>
        <w:rPr>
          <w:rFonts w:ascii="Open Sans" w:hAnsi="Open Sans" w:cs="Open Sans"/>
          <w:sz w:val="22"/>
          <w:szCs w:val="22"/>
          <w:lang w:val="fr"/>
        </w:rPr>
        <w:t xml:space="preserve">Le texte en gras est un </w:t>
      </w:r>
      <w:r>
        <w:rPr>
          <w:rFonts w:ascii="Open Sans" w:hAnsi="Open Sans" w:cs="Open Sans"/>
          <w:b/>
          <w:bCs/>
          <w:sz w:val="22"/>
          <w:szCs w:val="22"/>
          <w:lang w:val="fr"/>
        </w:rPr>
        <w:t>indicateur</w:t>
      </w:r>
      <w:r>
        <w:rPr>
          <w:rFonts w:ascii="Open Sans" w:hAnsi="Open Sans" w:cs="Open Sans"/>
          <w:sz w:val="22"/>
          <w:szCs w:val="22"/>
          <w:lang w:val="fr"/>
        </w:rPr>
        <w:t xml:space="preserve">. La puce est une </w:t>
      </w:r>
      <w:r>
        <w:rPr>
          <w:rFonts w:ascii="Open Sans" w:hAnsi="Open Sans" w:cs="Open Sans"/>
          <w:b/>
          <w:bCs/>
          <w:sz w:val="22"/>
          <w:szCs w:val="22"/>
          <w:lang w:val="fr"/>
        </w:rPr>
        <w:t>cible</w:t>
      </w:r>
      <w:r>
        <w:rPr>
          <w:rFonts w:ascii="Open Sans" w:hAnsi="Open Sans" w:cs="Open Sans"/>
          <w:sz w:val="22"/>
          <w:szCs w:val="22"/>
          <w:lang w:val="fr"/>
        </w:rPr>
        <w:t xml:space="preserve"> associée à cet indicateur. Le texte en gras et les puces sont appelés des </w:t>
      </w:r>
      <w:r>
        <w:rPr>
          <w:rFonts w:ascii="Open Sans" w:hAnsi="Open Sans" w:cs="Open Sans"/>
          <w:b/>
          <w:bCs/>
          <w:sz w:val="22"/>
          <w:szCs w:val="22"/>
          <w:lang w:val="fr"/>
        </w:rPr>
        <w:t xml:space="preserve">indicateurs clés </w:t>
      </w:r>
      <w:r>
        <w:rPr>
          <w:rFonts w:ascii="Open Sans" w:hAnsi="Open Sans" w:cs="Open Sans"/>
          <w:sz w:val="22"/>
          <w:szCs w:val="22"/>
          <w:lang w:val="fr"/>
        </w:rPr>
        <w:t xml:space="preserve">(voir </w:t>
      </w:r>
      <w:hyperlink r:id="rId14" w:anchor="ch002_002_001_004" w:history="1">
        <w:r>
          <w:rPr>
            <w:rStyle w:val="Hyperlink"/>
            <w:rFonts w:ascii="Open Sans" w:hAnsi="Open Sans" w:cs="Open Sans"/>
            <w:sz w:val="22"/>
            <w:szCs w:val="22"/>
            <w:lang w:val="fr"/>
          </w:rPr>
          <w:t>Travailler avec les indicateurs clés</w:t>
        </w:r>
      </w:hyperlink>
      <w:r>
        <w:rPr>
          <w:rFonts w:ascii="Open Sans" w:hAnsi="Open Sans" w:cs="Open Sans"/>
          <w:sz w:val="22"/>
          <w:szCs w:val="22"/>
          <w:lang w:val="fr"/>
        </w:rPr>
        <w:t xml:space="preserve"> page 7 du manuel Sphère).</w:t>
      </w:r>
    </w:p>
    <w:p w14:paraId="58B59DC1" w14:textId="0809A4FB" w:rsidR="00B31B77" w:rsidRPr="00D225BD" w:rsidRDefault="00B31B77" w:rsidP="00B31B77">
      <w:pPr>
        <w:pStyle w:val="NormalWeb"/>
        <w:spacing w:before="80" w:beforeAutospacing="0" w:after="80" w:afterAutospacing="0"/>
        <w:rPr>
          <w:rFonts w:ascii="Open Sans" w:hAnsi="Open Sans" w:cs="Open Sans"/>
          <w:sz w:val="22"/>
          <w:szCs w:val="22"/>
          <w:lang w:val="fr-FR"/>
        </w:rPr>
      </w:pPr>
      <w:r>
        <w:rPr>
          <w:rFonts w:ascii="Open Sans" w:hAnsi="Open Sans" w:cs="Open Sans"/>
          <w:color w:val="000000"/>
          <w:sz w:val="22"/>
          <w:szCs w:val="22"/>
          <w:lang w:val="fr"/>
        </w:rPr>
        <w:t xml:space="preserve">Suivre les cibles plutôt que les standards suppose que tout le monde soit né avec des </w:t>
      </w:r>
      <w:r>
        <w:rPr>
          <w:rFonts w:ascii="Open Sans" w:hAnsi="Open Sans" w:cs="Open Sans"/>
          <w:i/>
          <w:iCs/>
          <w:color w:val="000000"/>
          <w:sz w:val="22"/>
          <w:szCs w:val="22"/>
          <w:lang w:val="fr"/>
        </w:rPr>
        <w:t>besoins</w:t>
      </w:r>
      <w:r>
        <w:rPr>
          <w:rFonts w:ascii="Open Sans" w:hAnsi="Open Sans" w:cs="Open Sans"/>
          <w:color w:val="000000"/>
          <w:sz w:val="22"/>
          <w:szCs w:val="22"/>
          <w:lang w:val="fr"/>
        </w:rPr>
        <w:t xml:space="preserve"> égaux, plutôt qu’avec </w:t>
      </w:r>
      <w:r w:rsidRPr="00D225BD">
        <w:rPr>
          <w:rFonts w:ascii="Open Sans" w:hAnsi="Open Sans" w:cs="Open Sans"/>
          <w:color w:val="000000"/>
          <w:sz w:val="22"/>
          <w:szCs w:val="22"/>
          <w:lang w:val="fr"/>
        </w:rPr>
        <w:t>des</w:t>
      </w:r>
      <w:r>
        <w:rPr>
          <w:rFonts w:ascii="Open Sans" w:hAnsi="Open Sans" w:cs="Open Sans"/>
          <w:color w:val="000000"/>
          <w:sz w:val="22"/>
          <w:szCs w:val="22"/>
          <w:lang w:val="fr"/>
        </w:rPr>
        <w:t xml:space="preserve"> </w:t>
      </w:r>
      <w:r w:rsidRPr="00D225BD">
        <w:rPr>
          <w:rFonts w:ascii="Open Sans" w:hAnsi="Open Sans" w:cs="Open Sans"/>
          <w:i/>
          <w:iCs/>
          <w:color w:val="000000"/>
          <w:sz w:val="22"/>
          <w:szCs w:val="22"/>
          <w:lang w:val="fr"/>
        </w:rPr>
        <w:t>droits</w:t>
      </w:r>
      <w:r>
        <w:rPr>
          <w:rFonts w:ascii="Open Sans" w:hAnsi="Open Sans" w:cs="Open Sans"/>
          <w:color w:val="000000"/>
          <w:sz w:val="22"/>
          <w:szCs w:val="22"/>
          <w:lang w:val="fr"/>
        </w:rPr>
        <w:t xml:space="preserve"> égaux, ce qui peut être </w:t>
      </w:r>
      <w:r w:rsidR="000841C4">
        <w:rPr>
          <w:rFonts w:ascii="Open Sans" w:hAnsi="Open Sans" w:cs="Open Sans"/>
          <w:color w:val="000000"/>
          <w:sz w:val="22"/>
          <w:szCs w:val="22"/>
          <w:lang w:val="fr"/>
        </w:rPr>
        <w:t xml:space="preserve">une </w:t>
      </w:r>
      <w:r>
        <w:rPr>
          <w:rFonts w:ascii="Open Sans" w:hAnsi="Open Sans" w:cs="Open Sans"/>
          <w:color w:val="000000"/>
          <w:sz w:val="22"/>
          <w:szCs w:val="22"/>
          <w:lang w:val="fr"/>
        </w:rPr>
        <w:t>source d’erreur grave.</w:t>
      </w:r>
    </w:p>
    <w:p w14:paraId="10C560FC" w14:textId="7F266CF9" w:rsidR="009B077B" w:rsidRPr="00D225BD" w:rsidRDefault="009B077B" w:rsidP="00B31B77">
      <w:pPr>
        <w:pStyle w:val="NormalWeb"/>
        <w:spacing w:before="80" w:beforeAutospacing="0" w:after="80" w:afterAutospacing="0"/>
        <w:rPr>
          <w:rFonts w:ascii="Open Sans" w:hAnsi="Open Sans" w:cs="Open Sans"/>
          <w:color w:val="000000"/>
          <w:sz w:val="22"/>
          <w:szCs w:val="22"/>
          <w:lang w:val="fr-FR"/>
        </w:rPr>
      </w:pPr>
    </w:p>
    <w:p w14:paraId="0FB3D8F7" w14:textId="26AE6D3E" w:rsidR="009B077B" w:rsidRPr="00D225BD" w:rsidRDefault="009B077B" w:rsidP="009B077B">
      <w:pPr>
        <w:pStyle w:val="Heading2"/>
        <w:spacing w:before="80" w:after="80"/>
        <w:rPr>
          <w:rFonts w:ascii="Open Sans" w:hAnsi="Open Sans" w:cs="Open Sans"/>
          <w:b/>
          <w:bCs/>
          <w:color w:val="00A885"/>
          <w:sz w:val="23"/>
          <w:szCs w:val="23"/>
          <w:lang w:val="fr-FR"/>
        </w:rPr>
      </w:pPr>
      <w:r>
        <w:rPr>
          <w:rFonts w:ascii="Open Sans" w:hAnsi="Open Sans" w:cs="Open Sans"/>
          <w:b/>
          <w:bCs/>
          <w:color w:val="00A885"/>
          <w:sz w:val="23"/>
          <w:szCs w:val="23"/>
          <w:lang w:val="fr"/>
        </w:rPr>
        <w:lastRenderedPageBreak/>
        <w:t>À propos de cette ressource d’apprentissage</w:t>
      </w:r>
    </w:p>
    <w:p w14:paraId="4A71EC2D" w14:textId="5CE8FAA9" w:rsidR="00B31B77" w:rsidRPr="00D225BD" w:rsidRDefault="00B31B77" w:rsidP="001D6656">
      <w:pPr>
        <w:pStyle w:val="NormalWeb"/>
        <w:spacing w:before="80" w:beforeAutospacing="0" w:after="80" w:afterAutospacing="0"/>
        <w:rPr>
          <w:rFonts w:ascii="Open Sans" w:hAnsi="Open Sans" w:cs="Open Sans"/>
          <w:sz w:val="22"/>
          <w:szCs w:val="22"/>
          <w:lang w:val="fr-FR"/>
        </w:rPr>
      </w:pPr>
      <w:r>
        <w:rPr>
          <w:rFonts w:ascii="Open Sans" w:hAnsi="Open Sans" w:cs="Open Sans"/>
          <w:color w:val="000000"/>
          <w:sz w:val="22"/>
          <w:szCs w:val="22"/>
          <w:lang w:val="fr"/>
        </w:rPr>
        <w:t xml:space="preserve">Cette ressource d’apprentissage est conçue pour aider les apprenant-e-s à distinguer </w:t>
      </w:r>
      <w:r>
        <w:rPr>
          <w:rFonts w:ascii="Open Sans" w:hAnsi="Open Sans" w:cs="Open Sans"/>
          <w:b/>
          <w:bCs/>
          <w:color w:val="000000"/>
          <w:sz w:val="22"/>
          <w:szCs w:val="22"/>
          <w:lang w:val="fr"/>
        </w:rPr>
        <w:t xml:space="preserve">les standards </w:t>
      </w:r>
      <w:r>
        <w:rPr>
          <w:rFonts w:ascii="Open Sans" w:hAnsi="Open Sans" w:cs="Open Sans"/>
          <w:color w:val="000000"/>
          <w:sz w:val="22"/>
          <w:szCs w:val="22"/>
          <w:lang w:val="fr"/>
        </w:rPr>
        <w:t>et</w:t>
      </w:r>
      <w:r>
        <w:rPr>
          <w:rFonts w:ascii="Open Sans" w:hAnsi="Open Sans" w:cs="Open Sans"/>
          <w:b/>
          <w:bCs/>
          <w:color w:val="000000"/>
          <w:sz w:val="22"/>
          <w:szCs w:val="22"/>
          <w:lang w:val="fr"/>
        </w:rPr>
        <w:t xml:space="preserve"> les cibles</w:t>
      </w:r>
      <w:r>
        <w:rPr>
          <w:rFonts w:ascii="Open Sans" w:hAnsi="Open Sans" w:cs="Open Sans"/>
          <w:color w:val="000000"/>
          <w:sz w:val="22"/>
          <w:szCs w:val="22"/>
          <w:lang w:val="fr"/>
        </w:rPr>
        <w:t>. Elle repose sur une série de 12 images inspirées d’une illustration de Craig Froehle (</w:t>
      </w:r>
      <w:hyperlink r:id="rId15" w:history="1">
        <w:r>
          <w:rPr>
            <w:rStyle w:val="Hyperlink"/>
            <w:rFonts w:ascii="Open Sans" w:hAnsi="Open Sans" w:cs="Open Sans"/>
            <w:color w:val="1155CC"/>
            <w:sz w:val="22"/>
            <w:szCs w:val="22"/>
            <w:lang w:val="fr"/>
          </w:rPr>
          <w:t>The Evolution of an Accidental Meme | par Craig</w:t>
        </w:r>
      </w:hyperlink>
      <w:r>
        <w:rPr>
          <w:rFonts w:ascii="Open Sans" w:hAnsi="Open Sans" w:cs="Open Sans"/>
          <w:color w:val="000000"/>
          <w:sz w:val="22"/>
          <w:szCs w:val="22"/>
          <w:lang w:val="fr"/>
        </w:rPr>
        <w:t>).</w:t>
      </w:r>
    </w:p>
    <w:p w14:paraId="0F7E45E1" w14:textId="7A8070CD" w:rsidR="00B31B77" w:rsidRPr="00D225BD" w:rsidRDefault="00B31B77" w:rsidP="001D6656">
      <w:pPr>
        <w:pStyle w:val="NormalWeb"/>
        <w:spacing w:before="80" w:beforeAutospacing="0" w:after="80" w:afterAutospacing="0"/>
        <w:rPr>
          <w:rFonts w:ascii="Open Sans" w:hAnsi="Open Sans" w:cs="Open Sans"/>
          <w:color w:val="000000"/>
          <w:sz w:val="22"/>
          <w:szCs w:val="22"/>
          <w:lang w:val="fr-FR"/>
        </w:rPr>
      </w:pPr>
      <w:r>
        <w:rPr>
          <w:rFonts w:ascii="Open Sans" w:hAnsi="Open Sans" w:cs="Open Sans"/>
          <w:color w:val="000000"/>
          <w:sz w:val="22"/>
          <w:szCs w:val="22"/>
          <w:lang w:val="fr"/>
        </w:rPr>
        <w:t>La meilleure manière d’apprendre à faire cette importante distinction est de mener le raisonnement soi-même, ce que les apprenant-e-s feront à l’aide des 12 images. Cette activité est facilement adaptable à des ateliers ou formations en ligne ou en présentiel.</w:t>
      </w:r>
    </w:p>
    <w:p w14:paraId="433B6E56" w14:textId="2E4E250E" w:rsidR="001B25E7" w:rsidRPr="00D225BD" w:rsidRDefault="000841C4" w:rsidP="001D6656">
      <w:pPr>
        <w:pStyle w:val="CommentText"/>
        <w:spacing w:beforeLines="80" w:before="192" w:afterLines="80" w:after="192"/>
        <w:rPr>
          <w:rFonts w:ascii="Open Sans" w:eastAsia="Times New Roman" w:hAnsi="Open Sans" w:cs="Open Sans"/>
          <w:color w:val="000000"/>
          <w:sz w:val="22"/>
          <w:szCs w:val="22"/>
          <w:lang w:val="fr-FR"/>
        </w:rPr>
      </w:pPr>
      <w:r>
        <w:rPr>
          <w:rFonts w:ascii="Open Sans" w:hAnsi="Open Sans"/>
          <w:color w:val="000000"/>
          <w:sz w:val="22"/>
          <w:szCs w:val="22"/>
          <w:lang w:val="fr"/>
        </w:rPr>
        <w:t>L</w:t>
      </w:r>
      <w:r w:rsidR="00F823C7">
        <w:rPr>
          <w:rFonts w:ascii="Open Sans" w:hAnsi="Open Sans"/>
          <w:color w:val="000000"/>
          <w:sz w:val="22"/>
          <w:szCs w:val="22"/>
          <w:lang w:val="fr"/>
        </w:rPr>
        <w:t xml:space="preserve">es vignettes reposent sur un standard imaginaire : </w:t>
      </w:r>
      <w:r w:rsidR="00F823C7" w:rsidRPr="000841C4">
        <w:rPr>
          <w:rFonts w:ascii="Open Sans" w:hAnsi="Open Sans"/>
          <w:i/>
          <w:iCs/>
          <w:color w:val="000000"/>
          <w:sz w:val="22"/>
          <w:szCs w:val="22"/>
          <w:lang w:val="fr"/>
        </w:rPr>
        <w:t xml:space="preserve">Les gens peuvent, en toute sécurité, regarder </w:t>
      </w:r>
      <w:r w:rsidR="00F91F7A">
        <w:rPr>
          <w:rFonts w:ascii="Open Sans" w:hAnsi="Open Sans"/>
          <w:i/>
          <w:iCs/>
          <w:color w:val="000000"/>
          <w:sz w:val="22"/>
          <w:szCs w:val="22"/>
          <w:lang w:val="fr"/>
        </w:rPr>
        <w:t>le</w:t>
      </w:r>
      <w:r w:rsidR="00F823C7" w:rsidRPr="000841C4">
        <w:rPr>
          <w:rFonts w:ascii="Open Sans" w:hAnsi="Open Sans"/>
          <w:i/>
          <w:iCs/>
          <w:color w:val="000000"/>
          <w:sz w:val="22"/>
          <w:szCs w:val="22"/>
          <w:lang w:val="fr"/>
        </w:rPr>
        <w:t xml:space="preserve"> beau paysage</w:t>
      </w:r>
      <w:r w:rsidR="00F823C7">
        <w:rPr>
          <w:rFonts w:ascii="Open Sans" w:hAnsi="Open Sans"/>
          <w:color w:val="000000"/>
          <w:sz w:val="22"/>
          <w:szCs w:val="22"/>
          <w:lang w:val="fr"/>
        </w:rPr>
        <w:t xml:space="preserve">. Contrairement aux standards du manuel Sphère, celui-ci ne repose pas sur les droits humains. Il a été retenu car il est facile à comprendre, et parce qu’il peut </w:t>
      </w:r>
      <w:r>
        <w:rPr>
          <w:rFonts w:ascii="Open Sans" w:hAnsi="Open Sans"/>
          <w:color w:val="000000"/>
          <w:sz w:val="22"/>
          <w:szCs w:val="22"/>
          <w:lang w:val="fr"/>
        </w:rPr>
        <w:t xml:space="preserve">aisément </w:t>
      </w:r>
      <w:r w:rsidR="00F823C7">
        <w:rPr>
          <w:rFonts w:ascii="Open Sans" w:hAnsi="Open Sans"/>
          <w:color w:val="000000"/>
          <w:sz w:val="22"/>
          <w:szCs w:val="22"/>
          <w:lang w:val="fr"/>
        </w:rPr>
        <w:t xml:space="preserve">être </w:t>
      </w:r>
      <w:r>
        <w:rPr>
          <w:rFonts w:ascii="Open Sans" w:hAnsi="Open Sans"/>
          <w:color w:val="000000"/>
          <w:sz w:val="22"/>
          <w:szCs w:val="22"/>
          <w:lang w:val="fr"/>
        </w:rPr>
        <w:t>représenté dans</w:t>
      </w:r>
      <w:r w:rsidR="00F823C7">
        <w:rPr>
          <w:rFonts w:ascii="Open Sans" w:hAnsi="Open Sans"/>
          <w:color w:val="000000"/>
          <w:sz w:val="22"/>
          <w:szCs w:val="22"/>
          <w:lang w:val="fr"/>
        </w:rPr>
        <w:t xml:space="preserve"> différents contextes.</w:t>
      </w:r>
    </w:p>
    <w:p w14:paraId="3F2C1297" w14:textId="4B9FEEBA" w:rsidR="001D6656" w:rsidRPr="00D225BD" w:rsidRDefault="007B0BB5" w:rsidP="001D6656">
      <w:pPr>
        <w:pStyle w:val="CommentText"/>
        <w:spacing w:beforeLines="80" w:before="192" w:afterLines="80" w:after="192"/>
        <w:rPr>
          <w:rFonts w:ascii="Open Sans" w:eastAsia="Times New Roman" w:hAnsi="Open Sans" w:cs="Open Sans"/>
          <w:color w:val="000000"/>
          <w:sz w:val="22"/>
          <w:szCs w:val="22"/>
          <w:lang w:val="fr-FR"/>
        </w:rPr>
      </w:pPr>
      <w:r>
        <w:rPr>
          <w:noProof/>
          <w:lang w:val="fr"/>
        </w:rPr>
        <w:drawing>
          <wp:anchor distT="0" distB="0" distL="114300" distR="114300" simplePos="0" relativeHeight="251668480" behindDoc="0" locked="0" layoutInCell="1" allowOverlap="1" wp14:anchorId="2D8A2B2B" wp14:editId="75B8F30C">
            <wp:simplePos x="0" y="0"/>
            <wp:positionH relativeFrom="margin">
              <wp:posOffset>0</wp:posOffset>
            </wp:positionH>
            <wp:positionV relativeFrom="paragraph">
              <wp:posOffset>58751</wp:posOffset>
            </wp:positionV>
            <wp:extent cx="1369695" cy="1016635"/>
            <wp:effectExtent l="0" t="0" r="1905" b="0"/>
            <wp:wrapSquare wrapText="bothSides"/>
            <wp:docPr id="11" name="Picture 11"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rotWithShape="1">
                    <a:blip r:embed="rId11">
                      <a:extLst>
                        <a:ext uri="{28A0092B-C50C-407E-A947-70E740481C1C}">
                          <a14:useLocalDpi xmlns:a14="http://schemas.microsoft.com/office/drawing/2010/main" val="0"/>
                        </a:ext>
                      </a:extLst>
                    </a:blip>
                    <a:srcRect l="74625"/>
                    <a:stretch/>
                  </pic:blipFill>
                  <pic:spPr bwMode="auto">
                    <a:xfrm>
                      <a:off x="0" y="0"/>
                      <a:ext cx="1369695" cy="1016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041BA">
        <w:rPr>
          <w:rFonts w:ascii="Open Sans" w:eastAsia="Times New Roman" w:hAnsi="Open Sans" w:cs="Open Sans"/>
          <w:color w:val="000000"/>
          <w:sz w:val="22"/>
          <w:szCs w:val="22"/>
          <w:lang w:val="fr"/>
        </w:rPr>
        <w:t xml:space="preserve">L’indicateur clé, </w:t>
      </w:r>
      <w:r w:rsidR="00A041BA">
        <w:rPr>
          <w:rFonts w:ascii="Open Sans" w:eastAsia="Times New Roman" w:hAnsi="Open Sans" w:cs="Open Sans"/>
          <w:i/>
          <w:iCs/>
          <w:color w:val="000000"/>
          <w:sz w:val="22"/>
          <w:szCs w:val="22"/>
          <w:lang w:val="fr"/>
        </w:rPr>
        <w:t>Nombre de caisses : 1 par personne</w:t>
      </w:r>
      <w:r w:rsidR="00A041BA">
        <w:rPr>
          <w:rFonts w:ascii="Open Sans" w:eastAsia="Times New Roman" w:hAnsi="Open Sans" w:cs="Open Sans"/>
          <w:color w:val="000000"/>
          <w:sz w:val="22"/>
          <w:szCs w:val="22"/>
          <w:lang w:val="fr"/>
        </w:rPr>
        <w:t xml:space="preserve">, n’est pas forcément un </w:t>
      </w:r>
      <w:r w:rsidR="00A041BA">
        <w:rPr>
          <w:rFonts w:ascii="Open Sans" w:eastAsia="Times New Roman" w:hAnsi="Open Sans" w:cs="Open Sans"/>
          <w:i/>
          <w:iCs/>
          <w:color w:val="000000"/>
          <w:sz w:val="22"/>
          <w:szCs w:val="22"/>
          <w:lang w:val="fr"/>
        </w:rPr>
        <w:t>bon</w:t>
      </w:r>
      <w:r w:rsidR="00A041BA">
        <w:rPr>
          <w:rFonts w:ascii="Open Sans" w:eastAsia="Times New Roman" w:hAnsi="Open Sans" w:cs="Open Sans"/>
          <w:color w:val="000000"/>
          <w:sz w:val="22"/>
          <w:szCs w:val="22"/>
          <w:lang w:val="fr"/>
        </w:rPr>
        <w:t xml:space="preserve"> indicateur. Il a été retenu car il est facile à illustrer, et parce que dans un contexte « normal », une caisse par personne devrait permettre à tout le monde de voir le paysage (si les caisses sont bien distribuées en fonction des besoins individuels, tel qu’illustré).</w:t>
      </w:r>
    </w:p>
    <w:p w14:paraId="4771F1C0" w14:textId="18B9DFBB" w:rsidR="007A1CCB" w:rsidRPr="00D225BD" w:rsidRDefault="00F823C7" w:rsidP="00FD51A1">
      <w:pPr>
        <w:pStyle w:val="CommentText"/>
        <w:spacing w:beforeLines="80" w:before="192" w:afterLines="80" w:after="192"/>
        <w:rPr>
          <w:rFonts w:ascii="Open Sans" w:eastAsia="Times New Roman" w:hAnsi="Open Sans" w:cs="Open Sans"/>
          <w:color w:val="000000"/>
          <w:sz w:val="22"/>
          <w:szCs w:val="22"/>
          <w:lang w:val="fr-FR"/>
        </w:rPr>
      </w:pPr>
      <w:r>
        <w:rPr>
          <w:rFonts w:ascii="Open Sans" w:eastAsia="Times New Roman" w:hAnsi="Open Sans" w:cs="Open Sans"/>
          <w:color w:val="000000"/>
          <w:sz w:val="22"/>
          <w:szCs w:val="22"/>
          <w:lang w:val="fr"/>
        </w:rPr>
        <w:t xml:space="preserve">Le </w:t>
      </w:r>
      <w:r w:rsidR="000841C4">
        <w:rPr>
          <w:rFonts w:ascii="Open Sans" w:eastAsia="Times New Roman" w:hAnsi="Open Sans" w:cs="Open Sans"/>
          <w:color w:val="000000"/>
          <w:sz w:val="22"/>
          <w:szCs w:val="22"/>
          <w:lang w:val="fr"/>
        </w:rPr>
        <w:t>dé</w:t>
      </w:r>
      <w:r w:rsidR="001452CB">
        <w:rPr>
          <w:rFonts w:ascii="Open Sans" w:eastAsia="Times New Roman" w:hAnsi="Open Sans" w:cs="Open Sans"/>
          <w:color w:val="000000"/>
          <w:sz w:val="22"/>
          <w:szCs w:val="22"/>
          <w:lang w:val="fr"/>
        </w:rPr>
        <w:t>b</w:t>
      </w:r>
      <w:r w:rsidR="000841C4">
        <w:rPr>
          <w:rFonts w:ascii="Open Sans" w:eastAsia="Times New Roman" w:hAnsi="Open Sans" w:cs="Open Sans"/>
          <w:color w:val="000000"/>
          <w:sz w:val="22"/>
          <w:szCs w:val="22"/>
          <w:lang w:val="fr"/>
        </w:rPr>
        <w:t>riefing</w:t>
      </w:r>
      <w:r>
        <w:rPr>
          <w:rFonts w:ascii="Open Sans" w:eastAsia="Times New Roman" w:hAnsi="Open Sans" w:cs="Open Sans"/>
          <w:color w:val="000000"/>
          <w:sz w:val="22"/>
          <w:szCs w:val="22"/>
          <w:lang w:val="fr"/>
        </w:rPr>
        <w:t xml:space="preserve"> (</w:t>
      </w:r>
      <w:r w:rsidR="000841C4">
        <w:rPr>
          <w:rFonts w:ascii="Open Sans" w:eastAsia="Times New Roman" w:hAnsi="Open Sans" w:cs="Open Sans"/>
          <w:color w:val="000000"/>
          <w:sz w:val="22"/>
          <w:szCs w:val="22"/>
          <w:lang w:val="fr"/>
        </w:rPr>
        <w:t xml:space="preserve">voir </w:t>
      </w:r>
      <w:hyperlink w:anchor="Debrief" w:history="1">
        <w:r w:rsidR="000841C4">
          <w:rPr>
            <w:rStyle w:val="Hyperlink"/>
            <w:rFonts w:ascii="Open Sans" w:eastAsia="Times New Roman" w:hAnsi="Open Sans" w:cs="Open Sans"/>
            <w:sz w:val="22"/>
            <w:szCs w:val="22"/>
            <w:lang w:val="fr"/>
          </w:rPr>
          <w:t>ci-dessous</w:t>
        </w:r>
      </w:hyperlink>
      <w:r>
        <w:rPr>
          <w:rFonts w:ascii="Open Sans" w:eastAsia="Times New Roman" w:hAnsi="Open Sans" w:cs="Open Sans"/>
          <w:color w:val="000000"/>
          <w:sz w:val="22"/>
          <w:szCs w:val="22"/>
          <w:lang w:val="fr"/>
        </w:rPr>
        <w:t>) devrait inclure une discussion relative au contexte (et notamment le fait qu’un contexte « normal » n’existe pas). Il peut également comprendre des discussions sur l’adéquation de cet indicateur et/ou quels autres indicateurs seraient adaptés à ce standard.</w:t>
      </w:r>
    </w:p>
    <w:p w14:paraId="39A87221" w14:textId="6361E9BD" w:rsidR="002E2543" w:rsidRPr="00D225BD" w:rsidRDefault="002E2543" w:rsidP="001D6656">
      <w:pPr>
        <w:pStyle w:val="NormalWeb"/>
        <w:spacing w:beforeLines="80" w:before="192" w:beforeAutospacing="0" w:afterLines="80" w:after="192" w:afterAutospacing="0"/>
        <w:rPr>
          <w:rFonts w:ascii="Open Sans" w:hAnsi="Open Sans" w:cs="Open Sans"/>
          <w:sz w:val="22"/>
          <w:szCs w:val="22"/>
          <w:lang w:val="fr-FR"/>
        </w:rPr>
      </w:pPr>
      <w:r>
        <w:rPr>
          <w:rFonts w:ascii="Open Sans" w:hAnsi="Open Sans" w:cs="Open Sans"/>
          <w:color w:val="000000"/>
          <w:sz w:val="22"/>
          <w:szCs w:val="22"/>
          <w:lang w:val="fr"/>
        </w:rPr>
        <w:t xml:space="preserve">Le guide d’activité ci-dessous n’est qu’une simple suggestion. N’hésitez pas à vous servir des vignettes autrement, et surtout faites-nous part de vos idées à l’adresse </w:t>
      </w:r>
      <w:hyperlink r:id="rId16" w:history="1">
        <w:r>
          <w:rPr>
            <w:rStyle w:val="Hyperlink"/>
            <w:rFonts w:ascii="Open Sans" w:hAnsi="Open Sans" w:cs="Open Sans"/>
            <w:sz w:val="22"/>
            <w:szCs w:val="22"/>
            <w:lang w:val="fr"/>
          </w:rPr>
          <w:t>learning@spherestandards.org</w:t>
        </w:r>
      </w:hyperlink>
      <w:r>
        <w:rPr>
          <w:rFonts w:ascii="Open Sans" w:hAnsi="Open Sans" w:cs="Open Sans"/>
          <w:color w:val="000000"/>
          <w:sz w:val="22"/>
          <w:szCs w:val="22"/>
          <w:lang w:val="fr"/>
        </w:rPr>
        <w:t>.</w:t>
      </w:r>
    </w:p>
    <w:p w14:paraId="12BF02F5" w14:textId="77777777" w:rsidR="00C278F2" w:rsidRPr="00D225BD" w:rsidRDefault="00C278F2" w:rsidP="00B31B77">
      <w:pPr>
        <w:rPr>
          <w:rFonts w:ascii="Open Sans" w:hAnsi="Open Sans" w:cs="Open Sans"/>
          <w:sz w:val="23"/>
          <w:szCs w:val="23"/>
          <w:lang w:val="fr-FR"/>
        </w:rPr>
      </w:pPr>
    </w:p>
    <w:p w14:paraId="3D731572" w14:textId="63BB253F" w:rsidR="00B31B77" w:rsidRPr="004E35C4" w:rsidRDefault="001D6656" w:rsidP="00B31B77">
      <w:pPr>
        <w:pStyle w:val="Heading2"/>
        <w:spacing w:before="80" w:after="80"/>
        <w:rPr>
          <w:rFonts w:ascii="Open Sans" w:hAnsi="Open Sans" w:cs="Open Sans"/>
          <w:color w:val="00A885"/>
          <w:sz w:val="23"/>
          <w:szCs w:val="23"/>
        </w:rPr>
      </w:pPr>
      <w:r>
        <w:rPr>
          <w:rFonts w:ascii="Open Sans" w:hAnsi="Open Sans" w:cs="Open Sans"/>
          <w:b/>
          <w:bCs/>
          <w:color w:val="00A885"/>
          <w:sz w:val="23"/>
          <w:szCs w:val="23"/>
          <w:lang w:val="fr"/>
        </w:rPr>
        <w:t>Guide d’activité</w:t>
      </w:r>
    </w:p>
    <w:p w14:paraId="030A89F7" w14:textId="77777777" w:rsidR="00B31B77" w:rsidRPr="00D225BD" w:rsidRDefault="00B31B77" w:rsidP="00B31B77">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fr-FR"/>
        </w:rPr>
      </w:pPr>
      <w:r>
        <w:rPr>
          <w:rFonts w:ascii="Open Sans" w:hAnsi="Open Sans" w:cs="Open Sans"/>
          <w:color w:val="000000"/>
          <w:sz w:val="23"/>
          <w:szCs w:val="23"/>
          <w:lang w:val="fr"/>
        </w:rPr>
        <w:t>Répartissez les participant-e-s en petits groupes, et attribuez quelques images à chacun des groupes.</w:t>
      </w:r>
    </w:p>
    <w:p w14:paraId="465B6A26" w14:textId="77777777" w:rsidR="00B31B77" w:rsidRPr="00D225BD" w:rsidRDefault="00B31B77" w:rsidP="002B1A2B">
      <w:pPr>
        <w:pStyle w:val="NormalWeb"/>
        <w:spacing w:before="80" w:beforeAutospacing="0" w:after="80" w:afterAutospacing="0"/>
        <w:ind w:left="360"/>
        <w:textAlignment w:val="baseline"/>
        <w:rPr>
          <w:rFonts w:ascii="Open Sans" w:hAnsi="Open Sans" w:cs="Open Sans"/>
          <w:color w:val="000000"/>
          <w:sz w:val="23"/>
          <w:szCs w:val="23"/>
          <w:lang w:val="fr-FR"/>
        </w:rPr>
      </w:pPr>
      <w:r>
        <w:rPr>
          <w:rFonts w:ascii="Open Sans" w:hAnsi="Open Sans" w:cs="Open Sans"/>
          <w:color w:val="000000"/>
          <w:sz w:val="23"/>
          <w:szCs w:val="23"/>
          <w:lang w:val="fr"/>
        </w:rPr>
        <w:t>Les images peuvent être distribuées au hasard ou regroupées de manière volontaire.</w:t>
      </w:r>
    </w:p>
    <w:p w14:paraId="3C040E19" w14:textId="082A0F78" w:rsidR="00B31B77" w:rsidRPr="00D225BD"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fr-FR"/>
        </w:rPr>
      </w:pPr>
      <w:r>
        <w:rPr>
          <w:rFonts w:ascii="Open Sans" w:hAnsi="Open Sans" w:cs="Open Sans"/>
          <w:color w:val="000000"/>
          <w:sz w:val="23"/>
          <w:szCs w:val="23"/>
          <w:lang w:val="fr"/>
        </w:rPr>
        <w:t>Commencez par demander aux groupes de discuter entre eux de ce qui se passe sur leurs images.</w:t>
      </w:r>
    </w:p>
    <w:p w14:paraId="029D9AD8" w14:textId="77777777" w:rsidR="00B31B77" w:rsidRPr="00D225BD" w:rsidRDefault="00B31B77" w:rsidP="002B1A2B">
      <w:pPr>
        <w:pStyle w:val="NormalWeb"/>
        <w:spacing w:before="80" w:beforeAutospacing="0" w:after="80" w:afterAutospacing="0"/>
        <w:ind w:left="360"/>
        <w:textAlignment w:val="baseline"/>
        <w:rPr>
          <w:rFonts w:ascii="Open Sans" w:hAnsi="Open Sans" w:cs="Open Sans"/>
          <w:color w:val="000000"/>
          <w:sz w:val="23"/>
          <w:szCs w:val="23"/>
          <w:lang w:val="fr-FR"/>
        </w:rPr>
      </w:pPr>
      <w:r>
        <w:rPr>
          <w:rFonts w:ascii="Open Sans" w:hAnsi="Open Sans" w:cs="Open Sans"/>
          <w:color w:val="000000"/>
          <w:sz w:val="23"/>
          <w:szCs w:val="23"/>
          <w:lang w:val="fr"/>
        </w:rPr>
        <w:t>Cette discussion portera sur le contexte. Des suppositions peuvent être faites à partir des informations visuelles, mais de nombreux autres facteurs ne peuvent être devinés. Par exemple, que se passe-t-il au-delà du cadre de l’image ?</w:t>
      </w:r>
    </w:p>
    <w:p w14:paraId="60E2574C" w14:textId="77777777" w:rsidR="00F91F7A" w:rsidRDefault="00F91F7A">
      <w:pPr>
        <w:spacing w:after="160" w:line="259" w:lineRule="auto"/>
        <w:rPr>
          <w:rFonts w:ascii="Open Sans" w:eastAsia="Times New Roman" w:hAnsi="Open Sans" w:cs="Open Sans"/>
          <w:color w:val="000000"/>
          <w:sz w:val="23"/>
          <w:szCs w:val="23"/>
          <w:lang w:val="fr"/>
        </w:rPr>
      </w:pPr>
      <w:r>
        <w:rPr>
          <w:rFonts w:ascii="Open Sans" w:hAnsi="Open Sans" w:cs="Open Sans"/>
          <w:color w:val="000000"/>
          <w:sz w:val="23"/>
          <w:szCs w:val="23"/>
          <w:lang w:val="fr"/>
        </w:rPr>
        <w:br w:type="page"/>
      </w:r>
    </w:p>
    <w:p w14:paraId="734A0810" w14:textId="5278019A" w:rsidR="00B31B77" w:rsidRPr="00D225BD"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fr-FR"/>
        </w:rPr>
      </w:pPr>
      <w:r>
        <w:rPr>
          <w:rFonts w:ascii="Open Sans" w:hAnsi="Open Sans" w:cs="Open Sans"/>
          <w:color w:val="000000"/>
          <w:sz w:val="23"/>
          <w:szCs w:val="23"/>
          <w:lang w:val="fr"/>
        </w:rPr>
        <w:lastRenderedPageBreak/>
        <w:t>Donnez ensuite aux participant-e-s les informations suivantes...</w:t>
      </w:r>
    </w:p>
    <w:p w14:paraId="7A244579" w14:textId="77777777" w:rsidR="00B31B77" w:rsidRPr="00D225BD" w:rsidRDefault="00B31B77" w:rsidP="00B31B77">
      <w:pPr>
        <w:rPr>
          <w:rFonts w:ascii="Open Sans" w:hAnsi="Open Sans" w:cs="Open Sans"/>
          <w:sz w:val="23"/>
          <w:szCs w:val="23"/>
          <w:lang w:val="fr-FR"/>
        </w:rPr>
      </w:pP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B31B77" w:rsidRPr="00D225BD" w14:paraId="05064C0B" w14:textId="77777777" w:rsidTr="00D5017D">
        <w:trPr>
          <w:trHeight w:val="1098"/>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2CB832A6" w14:textId="7106E638" w:rsidR="001B4956" w:rsidRPr="00D225BD" w:rsidRDefault="00B31B77" w:rsidP="00D5017D">
            <w:pPr>
              <w:pStyle w:val="NormalWeb"/>
              <w:spacing w:before="160" w:beforeAutospacing="0" w:after="80" w:afterAutospacing="0"/>
              <w:ind w:left="161"/>
              <w:rPr>
                <w:rFonts w:ascii="Open Sans Semibold" w:hAnsi="Open Sans Semibold" w:cs="Open Sans Semibold"/>
                <w:color w:val="00A885"/>
                <w:sz w:val="23"/>
                <w:szCs w:val="23"/>
                <w:lang w:val="fr-FR"/>
              </w:rPr>
            </w:pPr>
            <w:r>
              <w:rPr>
                <w:rFonts w:ascii="Open Sans Semibold" w:hAnsi="Open Sans Semibold" w:cs="Open Sans Semibold"/>
                <w:color w:val="00A885"/>
                <w:sz w:val="23"/>
                <w:szCs w:val="23"/>
                <w:lang w:val="fr"/>
              </w:rPr>
              <w:t>Le standard :</w:t>
            </w:r>
          </w:p>
          <w:p w14:paraId="599A06DE" w14:textId="2DB6BA6B" w:rsidR="00B31B77" w:rsidRPr="00D225BD" w:rsidRDefault="00B31B77" w:rsidP="00D5017D">
            <w:pPr>
              <w:pStyle w:val="NormalWeb"/>
              <w:spacing w:before="80" w:beforeAutospacing="0" w:after="80" w:afterAutospacing="0"/>
              <w:ind w:left="161"/>
              <w:rPr>
                <w:rFonts w:ascii="Open Sans" w:hAnsi="Open Sans" w:cs="Open Sans"/>
                <w:sz w:val="23"/>
                <w:szCs w:val="23"/>
                <w:lang w:val="fr-FR"/>
              </w:rPr>
            </w:pPr>
            <w:r>
              <w:rPr>
                <w:rFonts w:ascii="Open Sans" w:hAnsi="Open Sans" w:cs="Open Sans"/>
                <w:sz w:val="23"/>
                <w:szCs w:val="23"/>
                <w:lang w:val="fr"/>
              </w:rPr>
              <w:t xml:space="preserve">Les gens peuvent, en toute sécurité, regarder </w:t>
            </w:r>
            <w:r w:rsidR="00F91F7A">
              <w:rPr>
                <w:rFonts w:ascii="Open Sans" w:hAnsi="Open Sans" w:cs="Open Sans"/>
                <w:sz w:val="23"/>
                <w:szCs w:val="23"/>
                <w:lang w:val="fr"/>
              </w:rPr>
              <w:t>le</w:t>
            </w:r>
            <w:r>
              <w:rPr>
                <w:rFonts w:ascii="Open Sans" w:hAnsi="Open Sans" w:cs="Open Sans"/>
                <w:sz w:val="23"/>
                <w:szCs w:val="23"/>
                <w:lang w:val="fr"/>
              </w:rPr>
              <w:t xml:space="preserve"> beau paysage</w:t>
            </w:r>
          </w:p>
        </w:tc>
      </w:tr>
      <w:tr w:rsidR="000D6A5C" w:rsidRPr="004E35C4" w14:paraId="3DE08910" w14:textId="77777777" w:rsidTr="00D5017D">
        <w:trPr>
          <w:trHeight w:val="1473"/>
        </w:trPr>
        <w:tc>
          <w:tcPr>
            <w:tcW w:w="8195" w:type="dxa"/>
            <w:tcBorders>
              <w:top w:val="single" w:sz="12" w:space="0" w:color="00A885"/>
            </w:tcBorders>
            <w:tcMar>
              <w:top w:w="0" w:type="dxa"/>
              <w:left w:w="108" w:type="dxa"/>
              <w:bottom w:w="0" w:type="dxa"/>
              <w:right w:w="108" w:type="dxa"/>
            </w:tcMar>
          </w:tcPr>
          <w:p w14:paraId="7EAA5037" w14:textId="1A0EFFB1" w:rsidR="000D6A5C" w:rsidRPr="00D225BD" w:rsidRDefault="002A3334" w:rsidP="00D5017D">
            <w:pPr>
              <w:pStyle w:val="NormalWeb"/>
              <w:spacing w:before="160" w:beforeAutospacing="0" w:after="80" w:afterAutospacing="0"/>
              <w:ind w:left="161"/>
              <w:rPr>
                <w:rFonts w:ascii="Open Sans Semibold" w:hAnsi="Open Sans Semibold" w:cs="Open Sans Semibold"/>
                <w:color w:val="00A885"/>
                <w:sz w:val="23"/>
                <w:szCs w:val="23"/>
                <w:lang w:val="fr-FR"/>
              </w:rPr>
            </w:pPr>
            <w:r>
              <w:rPr>
                <w:rFonts w:ascii="Open Sans Semibold" w:hAnsi="Open Sans Semibold" w:cs="Open Sans Semibold"/>
                <w:color w:val="00A885"/>
                <w:sz w:val="23"/>
                <w:szCs w:val="23"/>
                <w:lang w:val="fr"/>
              </w:rPr>
              <w:t>I</w:t>
            </w:r>
            <w:r w:rsidR="000D6A5C">
              <w:rPr>
                <w:rFonts w:ascii="Open Sans Semibold" w:hAnsi="Open Sans Semibold" w:cs="Open Sans Semibold"/>
                <w:color w:val="00A885"/>
                <w:sz w:val="23"/>
                <w:szCs w:val="23"/>
                <w:lang w:val="fr"/>
              </w:rPr>
              <w:t>ndicateurs clés</w:t>
            </w:r>
          </w:p>
          <w:p w14:paraId="66D44A22" w14:textId="30BD2B23" w:rsidR="000D6A5C" w:rsidRPr="00D225BD" w:rsidRDefault="000D6A5C" w:rsidP="00D5017D">
            <w:pPr>
              <w:pStyle w:val="NormalWeb"/>
              <w:spacing w:before="80" w:beforeAutospacing="0" w:after="80" w:afterAutospacing="0"/>
              <w:ind w:left="161"/>
              <w:rPr>
                <w:rFonts w:ascii="Open Sans" w:hAnsi="Open Sans" w:cs="Open Sans"/>
                <w:b/>
                <w:bCs/>
                <w:sz w:val="23"/>
                <w:szCs w:val="23"/>
                <w:lang w:val="fr-FR"/>
              </w:rPr>
            </w:pPr>
            <w:r>
              <w:rPr>
                <w:rFonts w:ascii="Open Sans" w:hAnsi="Open Sans" w:cs="Open Sans"/>
                <w:b/>
                <w:bCs/>
                <w:sz w:val="23"/>
                <w:szCs w:val="23"/>
                <w:lang w:val="fr"/>
              </w:rPr>
              <w:t>Nombre de caisses</w:t>
            </w:r>
          </w:p>
          <w:p w14:paraId="2E0CD8A9" w14:textId="415F6BCC" w:rsidR="000D6A5C" w:rsidRPr="004E35C4" w:rsidRDefault="000D6A5C" w:rsidP="00D5017D">
            <w:pPr>
              <w:pStyle w:val="NormalWeb"/>
              <w:numPr>
                <w:ilvl w:val="0"/>
                <w:numId w:val="26"/>
              </w:numPr>
              <w:spacing w:before="80" w:beforeAutospacing="0" w:after="80" w:afterAutospacing="0"/>
              <w:rPr>
                <w:rFonts w:ascii="Open Sans Semibold" w:hAnsi="Open Sans Semibold" w:cs="Open Sans Semibold"/>
                <w:color w:val="00A885"/>
                <w:sz w:val="23"/>
                <w:szCs w:val="23"/>
              </w:rPr>
            </w:pPr>
            <w:r>
              <w:rPr>
                <w:rFonts w:ascii="Open Sans" w:hAnsi="Open Sans" w:cs="Open Sans"/>
                <w:sz w:val="23"/>
                <w:szCs w:val="23"/>
                <w:lang w:val="fr"/>
              </w:rPr>
              <w:t>1 par personne</w:t>
            </w:r>
          </w:p>
        </w:tc>
      </w:tr>
    </w:tbl>
    <w:p w14:paraId="5D9FE9DB" w14:textId="77777777" w:rsidR="00B31B77" w:rsidRPr="004E35C4" w:rsidRDefault="00B31B77" w:rsidP="00B31B77">
      <w:pPr>
        <w:rPr>
          <w:rFonts w:ascii="Open Sans" w:hAnsi="Open Sans" w:cs="Open Sans"/>
          <w:sz w:val="23"/>
          <w:szCs w:val="23"/>
        </w:rPr>
      </w:pPr>
    </w:p>
    <w:p w14:paraId="5ADB68AC" w14:textId="5EA322F0" w:rsidR="00B31B77" w:rsidRPr="00D225BD" w:rsidRDefault="0040078F" w:rsidP="00B31B77">
      <w:pPr>
        <w:pStyle w:val="NormalWeb"/>
        <w:spacing w:before="80" w:beforeAutospacing="0" w:after="80" w:afterAutospacing="0"/>
        <w:ind w:left="360"/>
        <w:rPr>
          <w:rFonts w:ascii="Open Sans" w:hAnsi="Open Sans" w:cs="Open Sans"/>
          <w:sz w:val="23"/>
          <w:szCs w:val="23"/>
          <w:lang w:val="fr-FR"/>
        </w:rPr>
      </w:pPr>
      <w:r>
        <w:rPr>
          <w:rFonts w:ascii="Open Sans" w:hAnsi="Open Sans" w:cs="Open Sans"/>
          <w:color w:val="000000"/>
          <w:sz w:val="23"/>
          <w:szCs w:val="23"/>
          <w:lang w:val="fr"/>
        </w:rPr>
        <w:t>... et demandez-leur de répondre aux questions suivantes (pour chaque image) :</w:t>
      </w:r>
    </w:p>
    <w:p w14:paraId="2E4B80D4" w14:textId="77777777" w:rsidR="00B31B77" w:rsidRPr="004E35C4" w:rsidRDefault="00B31B77" w:rsidP="00254791">
      <w:pPr>
        <w:pStyle w:val="NormalWeb"/>
        <w:numPr>
          <w:ilvl w:val="0"/>
          <w:numId w:val="10"/>
        </w:numPr>
        <w:spacing w:before="80" w:beforeAutospacing="0" w:after="0" w:afterAutospacing="0"/>
        <w:ind w:left="720" w:hanging="270"/>
        <w:textAlignment w:val="baseline"/>
        <w:rPr>
          <w:rFonts w:ascii="Open Sans" w:hAnsi="Open Sans" w:cs="Open Sans"/>
          <w:color w:val="000000"/>
          <w:sz w:val="23"/>
          <w:szCs w:val="23"/>
        </w:rPr>
      </w:pPr>
      <w:r>
        <w:rPr>
          <w:rFonts w:ascii="Open Sans" w:hAnsi="Open Sans" w:cs="Open Sans"/>
          <w:color w:val="000000"/>
          <w:sz w:val="23"/>
          <w:szCs w:val="23"/>
          <w:lang w:val="fr"/>
        </w:rPr>
        <w:t>Le standard est-il atteint ? (oui/non/peut-être)</w:t>
      </w:r>
    </w:p>
    <w:p w14:paraId="2199FF89" w14:textId="45E8200A" w:rsidR="00B31B77" w:rsidRPr="00D225BD" w:rsidRDefault="00B31B77" w:rsidP="00254791">
      <w:pPr>
        <w:pStyle w:val="NormalWeb"/>
        <w:spacing w:before="0" w:beforeAutospacing="0" w:after="0" w:afterAutospacing="0"/>
        <w:ind w:left="720"/>
        <w:rPr>
          <w:rFonts w:ascii="Open Sans" w:hAnsi="Open Sans" w:cs="Open Sans"/>
          <w:sz w:val="23"/>
          <w:szCs w:val="23"/>
          <w:lang w:val="fr-FR"/>
        </w:rPr>
      </w:pPr>
      <w:r>
        <w:rPr>
          <w:rFonts w:ascii="Open Sans" w:hAnsi="Open Sans" w:cs="Open Sans"/>
          <w:color w:val="000000"/>
          <w:sz w:val="23"/>
          <w:szCs w:val="23"/>
          <w:lang w:val="fr"/>
        </w:rPr>
        <w:t xml:space="preserve">Il peut être évident que les personnages voient ou non le paysage, </w:t>
      </w:r>
      <w:r w:rsidR="001452CB">
        <w:rPr>
          <w:rFonts w:ascii="Open Sans" w:hAnsi="Open Sans" w:cs="Open Sans"/>
          <w:color w:val="000000"/>
          <w:sz w:val="23"/>
          <w:szCs w:val="23"/>
          <w:lang w:val="fr"/>
        </w:rPr>
        <w:t>mais</w:t>
      </w:r>
      <w:r>
        <w:rPr>
          <w:rFonts w:ascii="Open Sans" w:hAnsi="Open Sans" w:cs="Open Sans"/>
          <w:color w:val="000000"/>
          <w:sz w:val="23"/>
          <w:szCs w:val="23"/>
          <w:lang w:val="fr"/>
        </w:rPr>
        <w:t xml:space="preserve"> savoir s’ils sont </w:t>
      </w:r>
      <w:r>
        <w:rPr>
          <w:rFonts w:ascii="Open Sans" w:hAnsi="Open Sans" w:cs="Open Sans"/>
          <w:i/>
          <w:iCs/>
          <w:color w:val="000000"/>
          <w:sz w:val="23"/>
          <w:szCs w:val="23"/>
          <w:lang w:val="fr"/>
        </w:rPr>
        <w:t xml:space="preserve">en toute sécurité </w:t>
      </w:r>
      <w:r>
        <w:rPr>
          <w:rFonts w:ascii="Open Sans" w:hAnsi="Open Sans" w:cs="Open Sans"/>
          <w:color w:val="000000"/>
          <w:sz w:val="23"/>
          <w:szCs w:val="23"/>
          <w:lang w:val="fr"/>
        </w:rPr>
        <w:t>peut-être moins clair.</w:t>
      </w:r>
    </w:p>
    <w:p w14:paraId="2BECFF4A" w14:textId="1841FDEB" w:rsidR="00B31B77" w:rsidRPr="004E35C4" w:rsidRDefault="00B31B77" w:rsidP="00254791">
      <w:pPr>
        <w:pStyle w:val="NormalWeb"/>
        <w:numPr>
          <w:ilvl w:val="0"/>
          <w:numId w:val="11"/>
        </w:numPr>
        <w:spacing w:before="0" w:beforeAutospacing="0" w:after="0" w:afterAutospacing="0"/>
        <w:ind w:hanging="270"/>
        <w:textAlignment w:val="baseline"/>
        <w:rPr>
          <w:rFonts w:ascii="Open Sans" w:hAnsi="Open Sans" w:cs="Open Sans"/>
          <w:color w:val="000000"/>
          <w:sz w:val="23"/>
          <w:szCs w:val="23"/>
        </w:rPr>
      </w:pPr>
      <w:r>
        <w:rPr>
          <w:rFonts w:ascii="Open Sans" w:hAnsi="Open Sans" w:cs="Open Sans"/>
          <w:color w:val="000000"/>
          <w:sz w:val="23"/>
          <w:szCs w:val="23"/>
          <w:lang w:val="fr"/>
        </w:rPr>
        <w:t>Quelle est la mesure de l’indicateur, c’est-à-dire le nombre de caisses ?</w:t>
      </w:r>
      <w:r w:rsidR="002A3334">
        <w:rPr>
          <w:rFonts w:ascii="Open Sans" w:hAnsi="Open Sans" w:cs="Open Sans"/>
          <w:color w:val="000000"/>
          <w:sz w:val="23"/>
          <w:szCs w:val="23"/>
          <w:lang w:val="fr"/>
        </w:rPr>
        <w:br/>
      </w:r>
      <w:r>
        <w:rPr>
          <w:rFonts w:ascii="Open Sans" w:hAnsi="Open Sans" w:cs="Open Sans"/>
          <w:color w:val="000000"/>
          <w:sz w:val="23"/>
          <w:szCs w:val="23"/>
          <w:lang w:val="fr"/>
        </w:rPr>
        <w:t>(0, 1, 2, etc.)</w:t>
      </w:r>
    </w:p>
    <w:p w14:paraId="3E0A8F87" w14:textId="77777777" w:rsidR="00B31B77" w:rsidRPr="004E35C4" w:rsidRDefault="00B31B77" w:rsidP="00254791">
      <w:pPr>
        <w:pStyle w:val="NormalWeb"/>
        <w:numPr>
          <w:ilvl w:val="0"/>
          <w:numId w:val="12"/>
        </w:numPr>
        <w:spacing w:before="0" w:beforeAutospacing="0" w:after="0" w:afterAutospacing="0"/>
        <w:ind w:left="720" w:hanging="270"/>
        <w:textAlignment w:val="baseline"/>
        <w:rPr>
          <w:rFonts w:ascii="Open Sans" w:hAnsi="Open Sans" w:cs="Open Sans"/>
          <w:color w:val="000000"/>
          <w:sz w:val="23"/>
          <w:szCs w:val="23"/>
        </w:rPr>
      </w:pPr>
      <w:r>
        <w:rPr>
          <w:rFonts w:ascii="Open Sans" w:hAnsi="Open Sans" w:cs="Open Sans"/>
          <w:color w:val="000000"/>
          <w:sz w:val="23"/>
          <w:szCs w:val="23"/>
          <w:lang w:val="fr"/>
        </w:rPr>
        <w:t>La cible est-elle atteinte ? (oui/non/peut-être)</w:t>
      </w:r>
    </w:p>
    <w:p w14:paraId="3630F91F" w14:textId="77777777" w:rsidR="00B31B77" w:rsidRPr="004E35C4" w:rsidRDefault="00B31B77" w:rsidP="00254791">
      <w:pPr>
        <w:pStyle w:val="NormalWeb"/>
        <w:numPr>
          <w:ilvl w:val="0"/>
          <w:numId w:val="13"/>
        </w:numPr>
        <w:spacing w:before="0" w:beforeAutospacing="0" w:after="0" w:afterAutospacing="0"/>
        <w:ind w:left="720" w:hanging="270"/>
        <w:textAlignment w:val="baseline"/>
        <w:rPr>
          <w:rFonts w:ascii="Open Sans" w:hAnsi="Open Sans" w:cs="Open Sans"/>
          <w:color w:val="000000"/>
          <w:sz w:val="23"/>
          <w:szCs w:val="23"/>
        </w:rPr>
      </w:pPr>
      <w:r>
        <w:rPr>
          <w:rFonts w:ascii="Open Sans" w:hAnsi="Open Sans" w:cs="Open Sans"/>
          <w:color w:val="000000"/>
          <w:sz w:val="23"/>
          <w:szCs w:val="23"/>
          <w:lang w:val="fr"/>
        </w:rPr>
        <w:t>La cible est-elle adaptée à la situation/au contexte ? (oui/non/peut-être)</w:t>
      </w:r>
    </w:p>
    <w:p w14:paraId="0FD1F441" w14:textId="56EAE500" w:rsidR="00B31B77" w:rsidRPr="00D225BD" w:rsidRDefault="00B31B77" w:rsidP="00254791">
      <w:pPr>
        <w:pStyle w:val="NormalWeb"/>
        <w:numPr>
          <w:ilvl w:val="0"/>
          <w:numId w:val="14"/>
        </w:numPr>
        <w:spacing w:before="0" w:beforeAutospacing="0" w:after="80" w:afterAutospacing="0"/>
        <w:ind w:left="720" w:hanging="270"/>
        <w:textAlignment w:val="baseline"/>
        <w:rPr>
          <w:rFonts w:ascii="Open Sans" w:hAnsi="Open Sans" w:cs="Open Sans"/>
          <w:color w:val="000000"/>
          <w:sz w:val="23"/>
          <w:szCs w:val="23"/>
          <w:lang w:val="fr-FR"/>
        </w:rPr>
      </w:pPr>
      <w:r>
        <w:rPr>
          <w:rFonts w:ascii="Open Sans" w:hAnsi="Open Sans" w:cs="Open Sans"/>
          <w:color w:val="000000"/>
          <w:sz w:val="23"/>
          <w:szCs w:val="23"/>
          <w:lang w:val="fr"/>
        </w:rPr>
        <w:t xml:space="preserve">Quelles actions pourraient permettre d’atteindre le </w:t>
      </w:r>
      <w:r>
        <w:rPr>
          <w:rFonts w:ascii="Open Sans" w:hAnsi="Open Sans" w:cs="Open Sans"/>
          <w:b/>
          <w:bCs/>
          <w:color w:val="000000"/>
          <w:sz w:val="23"/>
          <w:szCs w:val="23"/>
          <w:lang w:val="fr"/>
        </w:rPr>
        <w:t>standard</w:t>
      </w:r>
      <w:r>
        <w:rPr>
          <w:rFonts w:ascii="Open Sans" w:hAnsi="Open Sans" w:cs="Open Sans"/>
          <w:color w:val="000000"/>
          <w:sz w:val="23"/>
          <w:szCs w:val="23"/>
          <w:lang w:val="fr"/>
        </w:rPr>
        <w:t> ?</w:t>
      </w:r>
    </w:p>
    <w:p w14:paraId="12260F6B" w14:textId="592A30C5" w:rsidR="00017C37" w:rsidRPr="00D225BD" w:rsidRDefault="00017C37" w:rsidP="00017C37">
      <w:pPr>
        <w:pStyle w:val="NormalWeb"/>
        <w:spacing w:before="0" w:beforeAutospacing="0" w:after="80" w:afterAutospacing="0"/>
        <w:textAlignment w:val="baseline"/>
        <w:rPr>
          <w:rFonts w:ascii="Open Sans" w:hAnsi="Open Sans" w:cs="Open Sans"/>
          <w:color w:val="000000"/>
          <w:sz w:val="23"/>
          <w:szCs w:val="23"/>
          <w:lang w:val="fr-FR"/>
        </w:rPr>
      </w:pPr>
    </w:p>
    <w:p w14:paraId="04941ADD" w14:textId="610DE44B" w:rsidR="00B31B77" w:rsidRPr="00D225BD" w:rsidRDefault="00B31B77" w:rsidP="00254791">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fr-FR"/>
        </w:rPr>
      </w:pPr>
      <w:bookmarkStart w:id="0" w:name="Debrief"/>
      <w:r>
        <w:rPr>
          <w:rFonts w:ascii="Open Sans" w:hAnsi="Open Sans" w:cs="Open Sans"/>
          <w:color w:val="000000"/>
          <w:sz w:val="23"/>
          <w:szCs w:val="23"/>
          <w:lang w:val="fr"/>
        </w:rPr>
        <w:t>Débriefez en groupe</w:t>
      </w:r>
      <w:r w:rsidR="00D16495">
        <w:rPr>
          <w:rFonts w:ascii="Open Sans" w:hAnsi="Open Sans" w:cs="Open Sans"/>
          <w:color w:val="000000"/>
          <w:sz w:val="23"/>
          <w:szCs w:val="23"/>
          <w:lang w:val="fr"/>
        </w:rPr>
        <w:t xml:space="preserve"> entier</w:t>
      </w:r>
      <w:r>
        <w:rPr>
          <w:rFonts w:ascii="Open Sans" w:hAnsi="Open Sans" w:cs="Open Sans"/>
          <w:color w:val="000000"/>
          <w:sz w:val="23"/>
          <w:szCs w:val="23"/>
          <w:lang w:val="fr"/>
        </w:rPr>
        <w:t>.</w:t>
      </w:r>
      <w:bookmarkEnd w:id="0"/>
    </w:p>
    <w:p w14:paraId="40D73B12" w14:textId="05FFF17F" w:rsidR="00B31B77" w:rsidRPr="00D16495" w:rsidRDefault="00B31B77" w:rsidP="00B31B77">
      <w:pPr>
        <w:pStyle w:val="NormalWeb"/>
        <w:spacing w:before="80" w:beforeAutospacing="0" w:after="80" w:afterAutospacing="0"/>
        <w:ind w:left="360"/>
        <w:rPr>
          <w:rFonts w:ascii="Open Sans" w:hAnsi="Open Sans" w:cs="Open Sans"/>
          <w:sz w:val="23"/>
          <w:szCs w:val="23"/>
          <w:lang w:val="fr-FR"/>
        </w:rPr>
      </w:pPr>
      <w:r>
        <w:rPr>
          <w:rFonts w:ascii="Open Sans" w:hAnsi="Open Sans" w:cs="Open Sans"/>
          <w:color w:val="000000"/>
          <w:sz w:val="23"/>
          <w:szCs w:val="23"/>
          <w:lang w:val="fr"/>
        </w:rPr>
        <w:t xml:space="preserve">Cette étape nécessite </w:t>
      </w:r>
      <w:r w:rsidR="00D16495">
        <w:rPr>
          <w:rFonts w:ascii="Open Sans" w:hAnsi="Open Sans" w:cs="Open Sans"/>
          <w:color w:val="000000"/>
          <w:sz w:val="23"/>
          <w:szCs w:val="23"/>
          <w:lang w:val="fr"/>
        </w:rPr>
        <w:t xml:space="preserve">de </w:t>
      </w:r>
      <w:r>
        <w:rPr>
          <w:rFonts w:ascii="Open Sans" w:hAnsi="Open Sans" w:cs="Open Sans"/>
          <w:color w:val="000000"/>
          <w:sz w:val="23"/>
          <w:szCs w:val="23"/>
          <w:lang w:val="fr"/>
        </w:rPr>
        <w:t xml:space="preserve">la préparation et </w:t>
      </w:r>
      <w:r w:rsidR="00D16495">
        <w:rPr>
          <w:rFonts w:ascii="Open Sans" w:hAnsi="Open Sans" w:cs="Open Sans"/>
          <w:color w:val="000000"/>
          <w:sz w:val="23"/>
          <w:szCs w:val="23"/>
          <w:lang w:val="fr"/>
        </w:rPr>
        <w:t xml:space="preserve">de </w:t>
      </w:r>
      <w:r>
        <w:rPr>
          <w:rFonts w:ascii="Open Sans" w:hAnsi="Open Sans" w:cs="Open Sans"/>
          <w:color w:val="000000"/>
          <w:sz w:val="23"/>
          <w:szCs w:val="23"/>
          <w:lang w:val="fr"/>
        </w:rPr>
        <w:t xml:space="preserve">l’expérience. La conversation peut </w:t>
      </w:r>
      <w:r w:rsidR="00D16495">
        <w:rPr>
          <w:rFonts w:ascii="Open Sans" w:hAnsi="Open Sans" w:cs="Open Sans"/>
          <w:color w:val="000000"/>
          <w:sz w:val="23"/>
          <w:szCs w:val="23"/>
          <w:lang w:val="fr"/>
        </w:rPr>
        <w:t>partir dans différentes directions</w:t>
      </w:r>
      <w:r>
        <w:rPr>
          <w:rFonts w:ascii="Open Sans" w:hAnsi="Open Sans" w:cs="Open Sans"/>
          <w:color w:val="000000"/>
          <w:sz w:val="23"/>
          <w:szCs w:val="23"/>
          <w:lang w:val="fr"/>
        </w:rPr>
        <w:t>. Les questions de réflexion peuvent inclure les suivantes :</w:t>
      </w:r>
    </w:p>
    <w:p w14:paraId="1C01F084" w14:textId="77777777" w:rsidR="00B31B77" w:rsidRPr="004E35C4" w:rsidRDefault="00B31B77" w:rsidP="004E35C4">
      <w:pPr>
        <w:pStyle w:val="NormalWeb"/>
        <w:numPr>
          <w:ilvl w:val="0"/>
          <w:numId w:val="16"/>
        </w:numPr>
        <w:spacing w:before="80" w:beforeAutospacing="0" w:after="0" w:afterAutospacing="0"/>
        <w:ind w:left="810" w:hanging="450"/>
        <w:textAlignment w:val="baseline"/>
        <w:rPr>
          <w:rFonts w:ascii="Open Sans" w:hAnsi="Open Sans" w:cs="Open Sans"/>
          <w:color w:val="000000"/>
          <w:sz w:val="23"/>
          <w:szCs w:val="23"/>
        </w:rPr>
      </w:pPr>
      <w:r>
        <w:rPr>
          <w:rFonts w:ascii="Open Sans" w:hAnsi="Open Sans" w:cs="Open Sans"/>
          <w:color w:val="000000"/>
          <w:sz w:val="23"/>
          <w:szCs w:val="23"/>
          <w:lang w:val="fr"/>
        </w:rPr>
        <w:t>Pourquoi disposer d’indicateurs ?</w:t>
      </w:r>
    </w:p>
    <w:p w14:paraId="1174BCAA" w14:textId="77777777"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rPr>
      </w:pPr>
      <w:r>
        <w:rPr>
          <w:rFonts w:ascii="Open Sans" w:hAnsi="Open Sans" w:cs="Open Sans"/>
          <w:color w:val="000000"/>
          <w:sz w:val="23"/>
          <w:szCs w:val="23"/>
          <w:lang w:val="fr"/>
        </w:rPr>
        <w:t>Pourquoi disposer de cibles ?</w:t>
      </w:r>
    </w:p>
    <w:p w14:paraId="46768EE3" w14:textId="77777777" w:rsidR="00B31B77" w:rsidRPr="00D225BD"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lang w:val="fr-FR"/>
        </w:rPr>
      </w:pPr>
      <w:r>
        <w:rPr>
          <w:rFonts w:ascii="Open Sans" w:hAnsi="Open Sans" w:cs="Open Sans"/>
          <w:color w:val="000000"/>
          <w:sz w:val="23"/>
          <w:szCs w:val="23"/>
          <w:lang w:val="fr"/>
        </w:rPr>
        <w:t>Quels autres indicateurs pourraient être adaptés pour mesurer ce standard ?</w:t>
      </w:r>
    </w:p>
    <w:p w14:paraId="4D547F18" w14:textId="44D6E5B9" w:rsidR="00B31B77" w:rsidRPr="00D225BD"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lang w:val="fr-FR"/>
        </w:rPr>
      </w:pPr>
      <w:r>
        <w:rPr>
          <w:rFonts w:ascii="Open Sans" w:hAnsi="Open Sans" w:cs="Open Sans"/>
          <w:color w:val="000000"/>
          <w:sz w:val="23"/>
          <w:szCs w:val="23"/>
          <w:lang w:val="fr"/>
        </w:rPr>
        <w:t>Comment la sécurité et la sûreté peuvent-elles être définies et mesurées ?</w:t>
      </w:r>
    </w:p>
    <w:p w14:paraId="3D9C9363" w14:textId="77777777" w:rsidR="00B31B77" w:rsidRPr="00D225BD" w:rsidRDefault="00B31B77" w:rsidP="00B31B77">
      <w:pPr>
        <w:rPr>
          <w:rFonts w:ascii="Open Sans" w:hAnsi="Open Sans" w:cs="Open Sans"/>
          <w:sz w:val="23"/>
          <w:szCs w:val="23"/>
          <w:lang w:val="fr-FR"/>
        </w:rPr>
      </w:pPr>
    </w:p>
    <w:p w14:paraId="3ACF045F" w14:textId="03117485" w:rsidR="00B31B77" w:rsidRPr="00D225BD" w:rsidRDefault="00B31B77" w:rsidP="00B31B77">
      <w:pPr>
        <w:pStyle w:val="NormalWeb"/>
        <w:spacing w:before="80" w:beforeAutospacing="0" w:after="80" w:afterAutospacing="0"/>
        <w:ind w:left="360"/>
        <w:rPr>
          <w:rFonts w:ascii="Open Sans" w:hAnsi="Open Sans" w:cs="Open Sans"/>
          <w:sz w:val="23"/>
          <w:szCs w:val="23"/>
          <w:lang w:val="fr-FR"/>
        </w:rPr>
      </w:pPr>
      <w:r>
        <w:rPr>
          <w:rFonts w:ascii="Open Sans" w:hAnsi="Open Sans" w:cs="Open Sans"/>
          <w:color w:val="000000"/>
          <w:sz w:val="23"/>
          <w:szCs w:val="23"/>
          <w:lang w:val="fr"/>
        </w:rPr>
        <w:t>Plusieurs thèmes clés devraient être abordés au cours de cette séance</w:t>
      </w:r>
      <w:r w:rsidR="00D16495">
        <w:rPr>
          <w:rFonts w:ascii="Open Sans" w:hAnsi="Open Sans" w:cs="Open Sans"/>
          <w:color w:val="000000"/>
          <w:sz w:val="23"/>
          <w:szCs w:val="23"/>
          <w:lang w:val="fr"/>
        </w:rPr>
        <w:t xml:space="preserve"> de</w:t>
      </w:r>
      <w:r>
        <w:rPr>
          <w:rFonts w:ascii="Open Sans" w:hAnsi="Open Sans" w:cs="Open Sans"/>
          <w:color w:val="000000"/>
          <w:sz w:val="23"/>
          <w:szCs w:val="23"/>
          <w:lang w:val="fr"/>
        </w:rPr>
        <w:t xml:space="preserve"> débriefing :</w:t>
      </w:r>
    </w:p>
    <w:p w14:paraId="32E78E53" w14:textId="77777777" w:rsidR="00B31B77" w:rsidRPr="00D225BD"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lang w:val="fr-FR"/>
        </w:rPr>
      </w:pPr>
      <w:r>
        <w:rPr>
          <w:rFonts w:ascii="Open Sans" w:hAnsi="Open Sans" w:cs="Open Sans"/>
          <w:b/>
          <w:bCs/>
          <w:color w:val="000000"/>
          <w:sz w:val="23"/>
          <w:szCs w:val="23"/>
          <w:lang w:val="fr"/>
        </w:rPr>
        <w:t>Le contexte :</w:t>
      </w:r>
      <w:r>
        <w:rPr>
          <w:rFonts w:ascii="Open Sans" w:hAnsi="Open Sans" w:cs="Open Sans"/>
          <w:color w:val="000000"/>
          <w:sz w:val="23"/>
          <w:szCs w:val="23"/>
          <w:lang w:val="fr"/>
        </w:rPr>
        <w:t xml:space="preserve"> Si les standards s’appliquent toujours sans modification, les indicateurs et les cibles doivent être envisagés selon le contexte. Dans cette série de vignettes, la hauteur du mur est un facteur contextuel présent dans toutes les images et qui influence la cible.</w:t>
      </w:r>
    </w:p>
    <w:p w14:paraId="784BC983" w14:textId="2395DA2C" w:rsidR="00B31B77" w:rsidRPr="00D225BD"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lang w:val="fr-FR"/>
        </w:rPr>
      </w:pPr>
      <w:r>
        <w:rPr>
          <w:rFonts w:ascii="Open Sans" w:hAnsi="Open Sans" w:cs="Open Sans"/>
          <w:color w:val="000000"/>
          <w:sz w:val="23"/>
          <w:szCs w:val="23"/>
          <w:lang w:val="fr"/>
        </w:rPr>
        <w:tab/>
        <w:t>Quels sont les autres facteurs contextuels qui influencent les cibles et les indicateurs ?</w:t>
      </w:r>
    </w:p>
    <w:p w14:paraId="27B062FA" w14:textId="77777777" w:rsidR="00C22EA5" w:rsidRDefault="00C22EA5">
      <w:pPr>
        <w:spacing w:after="160" w:line="259" w:lineRule="auto"/>
        <w:rPr>
          <w:rFonts w:ascii="Open Sans" w:eastAsia="Times New Roman" w:hAnsi="Open Sans" w:cs="Open Sans"/>
          <w:b/>
          <w:bCs/>
          <w:color w:val="000000"/>
          <w:sz w:val="23"/>
          <w:szCs w:val="23"/>
          <w:lang w:val="fr"/>
        </w:rPr>
      </w:pPr>
      <w:r>
        <w:rPr>
          <w:rFonts w:ascii="Open Sans" w:hAnsi="Open Sans" w:cs="Open Sans"/>
          <w:b/>
          <w:bCs/>
          <w:color w:val="000000"/>
          <w:sz w:val="23"/>
          <w:szCs w:val="23"/>
          <w:lang w:val="fr"/>
        </w:rPr>
        <w:br w:type="page"/>
      </w:r>
    </w:p>
    <w:p w14:paraId="0E7E8BBF" w14:textId="26EE86A6" w:rsidR="00B31B77" w:rsidRPr="00D225BD"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lang w:val="fr-FR"/>
        </w:rPr>
      </w:pPr>
      <w:r>
        <w:rPr>
          <w:rFonts w:ascii="Open Sans" w:hAnsi="Open Sans" w:cs="Open Sans"/>
          <w:b/>
          <w:bCs/>
          <w:color w:val="000000"/>
          <w:sz w:val="23"/>
          <w:szCs w:val="23"/>
          <w:lang w:val="fr"/>
        </w:rPr>
        <w:lastRenderedPageBreak/>
        <w:t>La participation</w:t>
      </w:r>
      <w:r>
        <w:rPr>
          <w:rFonts w:ascii="Open Sans" w:hAnsi="Open Sans" w:cs="Open Sans"/>
          <w:color w:val="000000"/>
          <w:sz w:val="23"/>
          <w:szCs w:val="23"/>
          <w:lang w:val="fr"/>
        </w:rPr>
        <w:t xml:space="preserve"> (et les différentes formes d’aide) : La distribution de caisses n’est pas participative, et n’est pas adaptée à de nombreux contextes.</w:t>
      </w:r>
    </w:p>
    <w:p w14:paraId="27C3DA42" w14:textId="6EA16134" w:rsidR="00B31B77" w:rsidRPr="00D225BD"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lang w:val="fr-FR"/>
        </w:rPr>
      </w:pPr>
      <w:r>
        <w:rPr>
          <w:rFonts w:ascii="Open Sans" w:hAnsi="Open Sans" w:cs="Open Sans"/>
          <w:color w:val="000000"/>
          <w:sz w:val="23"/>
          <w:szCs w:val="23"/>
          <w:lang w:val="fr"/>
        </w:rPr>
        <w:tab/>
        <w:t xml:space="preserve">Dans quels contextes illustrés </w:t>
      </w:r>
      <w:r w:rsidR="00D16495">
        <w:rPr>
          <w:rFonts w:ascii="Open Sans" w:hAnsi="Open Sans" w:cs="Open Sans"/>
          <w:color w:val="000000"/>
          <w:sz w:val="23"/>
          <w:szCs w:val="23"/>
          <w:lang w:val="fr"/>
        </w:rPr>
        <w:t xml:space="preserve">sur les vignettes </w:t>
      </w:r>
      <w:r>
        <w:rPr>
          <w:rFonts w:ascii="Open Sans" w:hAnsi="Open Sans" w:cs="Open Sans"/>
          <w:color w:val="000000"/>
          <w:sz w:val="23"/>
          <w:szCs w:val="23"/>
          <w:lang w:val="fr"/>
        </w:rPr>
        <w:t>les transferts monétaires ou l’assistance technique p</w:t>
      </w:r>
      <w:r w:rsidR="00D16495">
        <w:rPr>
          <w:rFonts w:ascii="Open Sans" w:hAnsi="Open Sans" w:cs="Open Sans"/>
          <w:color w:val="000000"/>
          <w:sz w:val="23"/>
          <w:szCs w:val="23"/>
          <w:lang w:val="fr"/>
        </w:rPr>
        <w:t>ourraient</w:t>
      </w:r>
      <w:r>
        <w:rPr>
          <w:rFonts w:ascii="Open Sans" w:hAnsi="Open Sans" w:cs="Open Sans"/>
          <w:color w:val="000000"/>
          <w:sz w:val="23"/>
          <w:szCs w:val="23"/>
          <w:lang w:val="fr"/>
        </w:rPr>
        <w:t>-ils être plus adaptés ?</w:t>
      </w:r>
    </w:p>
    <w:p w14:paraId="4BFE139A" w14:textId="77777777" w:rsidR="00C22EA5" w:rsidRPr="00C22EA5" w:rsidRDefault="00B31B77" w:rsidP="00C22EA5">
      <w:pPr>
        <w:pStyle w:val="NormalWeb"/>
        <w:numPr>
          <w:ilvl w:val="0"/>
          <w:numId w:val="25"/>
        </w:numPr>
        <w:tabs>
          <w:tab w:val="left" w:pos="720"/>
        </w:tabs>
        <w:spacing w:before="80" w:beforeAutospacing="0" w:after="80" w:afterAutospacing="0"/>
        <w:ind w:hanging="274"/>
        <w:textAlignment w:val="baseline"/>
        <w:rPr>
          <w:rFonts w:ascii="Open Sans" w:hAnsi="Open Sans" w:cs="Open Sans"/>
          <w:sz w:val="23"/>
          <w:szCs w:val="23"/>
          <w:lang w:val="fr-FR"/>
        </w:rPr>
      </w:pPr>
      <w:r w:rsidRPr="00C22EA5">
        <w:rPr>
          <w:rFonts w:ascii="Open Sans" w:hAnsi="Open Sans" w:cs="Open Sans"/>
          <w:b/>
          <w:bCs/>
          <w:color w:val="000000"/>
          <w:sz w:val="23"/>
          <w:szCs w:val="23"/>
          <w:lang w:val="fr"/>
        </w:rPr>
        <w:t>Les besoins, capacités et vulnérabilités :</w:t>
      </w:r>
      <w:r w:rsidRPr="00C22EA5">
        <w:rPr>
          <w:rFonts w:ascii="Open Sans" w:hAnsi="Open Sans" w:cs="Open Sans"/>
          <w:color w:val="000000"/>
          <w:sz w:val="23"/>
          <w:szCs w:val="23"/>
          <w:lang w:val="fr"/>
        </w:rPr>
        <w:t xml:space="preserve"> Les images présentent une personne en </w:t>
      </w:r>
      <w:r w:rsidR="00AB1396" w:rsidRPr="00C22EA5">
        <w:rPr>
          <w:rFonts w:ascii="Open Sans" w:hAnsi="Open Sans" w:cs="Open Sans"/>
          <w:color w:val="000000"/>
          <w:sz w:val="23"/>
          <w:szCs w:val="23"/>
          <w:lang w:val="fr"/>
        </w:rPr>
        <w:t>fauteuil</w:t>
      </w:r>
      <w:r w:rsidRPr="00C22EA5">
        <w:rPr>
          <w:rFonts w:ascii="Open Sans" w:hAnsi="Open Sans" w:cs="Open Sans"/>
          <w:color w:val="000000"/>
          <w:sz w:val="23"/>
          <w:szCs w:val="23"/>
          <w:lang w:val="fr"/>
        </w:rPr>
        <w:t xml:space="preserve"> roulant</w:t>
      </w:r>
      <w:r w:rsidR="00AB1396" w:rsidRPr="00C22EA5">
        <w:rPr>
          <w:rFonts w:ascii="Open Sans" w:hAnsi="Open Sans" w:cs="Open Sans"/>
          <w:color w:val="000000"/>
          <w:sz w:val="23"/>
          <w:szCs w:val="23"/>
          <w:lang w:val="fr"/>
        </w:rPr>
        <w:t>,</w:t>
      </w:r>
      <w:r w:rsidRPr="00C22EA5">
        <w:rPr>
          <w:rFonts w:ascii="Open Sans" w:hAnsi="Open Sans" w:cs="Open Sans"/>
          <w:color w:val="000000"/>
          <w:sz w:val="23"/>
          <w:szCs w:val="23"/>
          <w:lang w:val="fr"/>
        </w:rPr>
        <w:t xml:space="preserve"> de nombreux enfants et il semble qu’il y ait des personnes des deux sexes. Il est également nécessaire d’aborder les rôles, besoins, capacités et vulnérabilités qui ne peuvent être déterminés sur les images, tels que les pratiques culturelles, les rôles de genre, les limites sensorielles ou cognitives, etc.</w:t>
      </w:r>
    </w:p>
    <w:p w14:paraId="4435D026" w14:textId="7F0A5F7C" w:rsidR="00B31B77" w:rsidRPr="00C22EA5" w:rsidRDefault="0040078F" w:rsidP="00C22EA5">
      <w:pPr>
        <w:pStyle w:val="NormalWeb"/>
        <w:tabs>
          <w:tab w:val="left" w:pos="720"/>
        </w:tabs>
        <w:spacing w:before="80" w:beforeAutospacing="0" w:after="80" w:afterAutospacing="0"/>
        <w:ind w:left="720"/>
        <w:textAlignment w:val="baseline"/>
        <w:rPr>
          <w:rFonts w:ascii="Open Sans" w:hAnsi="Open Sans" w:cs="Open Sans"/>
          <w:sz w:val="23"/>
          <w:szCs w:val="23"/>
          <w:lang w:val="fr-FR"/>
        </w:rPr>
      </w:pPr>
      <w:r w:rsidRPr="00C22EA5">
        <w:rPr>
          <w:rFonts w:ascii="Open Sans" w:hAnsi="Open Sans" w:cs="Open Sans"/>
          <w:color w:val="000000"/>
          <w:sz w:val="23"/>
          <w:szCs w:val="23"/>
          <w:lang w:val="fr"/>
        </w:rPr>
        <w:t>Sur quelques-unes des images, certaines personnes semblent disposer des capacités (compétences et outils) permettant d’atteindre le standard sans avoir besoin de caisses, bien qu’il puisse y avoir des questions de sécurité ou de sûreté en jeu avec cette solution.</w:t>
      </w:r>
    </w:p>
    <w:p w14:paraId="5F7F13A0" w14:textId="5DA2DB76" w:rsidR="00B31B77" w:rsidRPr="00D225BD" w:rsidRDefault="0040078F" w:rsidP="00C22EA5">
      <w:pPr>
        <w:pStyle w:val="NormalWeb"/>
        <w:tabs>
          <w:tab w:val="left" w:pos="720"/>
        </w:tabs>
        <w:spacing w:before="80" w:beforeAutospacing="0" w:after="80" w:afterAutospacing="0"/>
        <w:ind w:left="720" w:hanging="274"/>
        <w:rPr>
          <w:rFonts w:ascii="Open Sans" w:hAnsi="Open Sans" w:cs="Open Sans"/>
          <w:sz w:val="23"/>
          <w:szCs w:val="23"/>
          <w:lang w:val="fr-FR"/>
        </w:rPr>
      </w:pPr>
      <w:r>
        <w:rPr>
          <w:rFonts w:ascii="Open Sans" w:hAnsi="Open Sans" w:cs="Open Sans"/>
          <w:color w:val="000000"/>
          <w:sz w:val="23"/>
          <w:szCs w:val="23"/>
          <w:lang w:val="fr"/>
        </w:rPr>
        <w:tab/>
        <w:t>Quels autres rôles, besoin</w:t>
      </w:r>
      <w:r w:rsidR="00AB1396">
        <w:rPr>
          <w:rFonts w:ascii="Open Sans" w:hAnsi="Open Sans" w:cs="Open Sans"/>
          <w:color w:val="000000"/>
          <w:sz w:val="23"/>
          <w:szCs w:val="23"/>
          <w:lang w:val="fr"/>
        </w:rPr>
        <w:t>s</w:t>
      </w:r>
      <w:r>
        <w:rPr>
          <w:rFonts w:ascii="Open Sans" w:hAnsi="Open Sans" w:cs="Open Sans"/>
          <w:color w:val="000000"/>
          <w:sz w:val="23"/>
          <w:szCs w:val="23"/>
          <w:lang w:val="fr"/>
        </w:rPr>
        <w:t>, capacités et vulnérabilités pourraient-elles avoir ?</w:t>
      </w:r>
    </w:p>
    <w:p w14:paraId="5DC22FC8" w14:textId="2FC88479" w:rsidR="003D5C0E" w:rsidRPr="00D225BD" w:rsidRDefault="003D5C0E" w:rsidP="00B31B77">
      <w:pPr>
        <w:rPr>
          <w:rFonts w:ascii="Open Sans" w:hAnsi="Open Sans" w:cs="Open Sans"/>
          <w:sz w:val="23"/>
          <w:szCs w:val="23"/>
          <w:lang w:val="fr-FR"/>
        </w:rPr>
      </w:pPr>
    </w:p>
    <w:p w14:paraId="202BEDA3" w14:textId="7A514503" w:rsidR="00B24417" w:rsidRPr="00B24417" w:rsidRDefault="004D2155" w:rsidP="00B24417">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r>
        <w:rPr>
          <w:rFonts w:ascii="Open Sans" w:hAnsi="Open Sans" w:cs="Open Sans"/>
          <w:color w:val="000000"/>
          <w:sz w:val="23"/>
          <w:szCs w:val="23"/>
          <w:lang w:val="fr"/>
        </w:rPr>
        <w:t>Distribuez le document</w:t>
      </w:r>
      <w:r w:rsidR="00076F6A">
        <w:rPr>
          <w:rFonts w:ascii="Open Sans" w:hAnsi="Open Sans" w:cs="Open Sans"/>
          <w:color w:val="000000"/>
          <w:sz w:val="23"/>
          <w:szCs w:val="23"/>
          <w:lang w:val="fr"/>
        </w:rPr>
        <w:t>.</w:t>
      </w:r>
    </w:p>
    <w:sectPr w:rsidR="00B24417" w:rsidRPr="00B24417" w:rsidSect="00A36C3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ABC26" w14:textId="77777777" w:rsidR="00EF34B7" w:rsidRDefault="00EF34B7" w:rsidP="00492609">
      <w:r>
        <w:separator/>
      </w:r>
    </w:p>
  </w:endnote>
  <w:endnote w:type="continuationSeparator" w:id="0">
    <w:p w14:paraId="47DBA48B" w14:textId="77777777" w:rsidR="00EF34B7" w:rsidRDefault="00EF34B7" w:rsidP="0049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B2363" w14:textId="77777777" w:rsidR="00EF34B7" w:rsidRDefault="00EF34B7" w:rsidP="00492609">
      <w:r>
        <w:separator/>
      </w:r>
    </w:p>
  </w:footnote>
  <w:footnote w:type="continuationSeparator" w:id="0">
    <w:p w14:paraId="22BC5E11" w14:textId="77777777" w:rsidR="00EF34B7" w:rsidRDefault="00EF34B7" w:rsidP="00492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13"/>
    <w:multiLevelType w:val="multilevel"/>
    <w:tmpl w:val="D1AAE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15315"/>
    <w:multiLevelType w:val="hybridMultilevel"/>
    <w:tmpl w:val="28FCA802"/>
    <w:lvl w:ilvl="0" w:tplc="87BE07AE">
      <w:start w:val="1"/>
      <w:numFmt w:val="bullet"/>
      <w:lvlText w:val=""/>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CFB"/>
    <w:multiLevelType w:val="hybridMultilevel"/>
    <w:tmpl w:val="CB04F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117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741E9"/>
    <w:multiLevelType w:val="hybridMultilevel"/>
    <w:tmpl w:val="AFFE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B0396"/>
    <w:multiLevelType w:val="hybridMultilevel"/>
    <w:tmpl w:val="67442682"/>
    <w:lvl w:ilvl="0" w:tplc="B142B3AA">
      <w:start w:val="5"/>
      <w:numFmt w:val="lowerLetter"/>
      <w:lvlText w:val="%1."/>
      <w:lvlJc w:val="left"/>
      <w:pPr>
        <w:tabs>
          <w:tab w:val="num" w:pos="720"/>
        </w:tabs>
        <w:ind w:left="720" w:hanging="360"/>
      </w:pPr>
    </w:lvl>
    <w:lvl w:ilvl="1" w:tplc="247AC942" w:tentative="1">
      <w:start w:val="1"/>
      <w:numFmt w:val="decimal"/>
      <w:lvlText w:val="%2."/>
      <w:lvlJc w:val="left"/>
      <w:pPr>
        <w:tabs>
          <w:tab w:val="num" w:pos="1440"/>
        </w:tabs>
        <w:ind w:left="1440" w:hanging="360"/>
      </w:pPr>
    </w:lvl>
    <w:lvl w:ilvl="2" w:tplc="70B2F3DA" w:tentative="1">
      <w:start w:val="1"/>
      <w:numFmt w:val="decimal"/>
      <w:lvlText w:val="%3."/>
      <w:lvlJc w:val="left"/>
      <w:pPr>
        <w:tabs>
          <w:tab w:val="num" w:pos="2160"/>
        </w:tabs>
        <w:ind w:left="2160" w:hanging="360"/>
      </w:pPr>
    </w:lvl>
    <w:lvl w:ilvl="3" w:tplc="B4BC3A38" w:tentative="1">
      <w:start w:val="1"/>
      <w:numFmt w:val="decimal"/>
      <w:lvlText w:val="%4."/>
      <w:lvlJc w:val="left"/>
      <w:pPr>
        <w:tabs>
          <w:tab w:val="num" w:pos="2880"/>
        </w:tabs>
        <w:ind w:left="2880" w:hanging="360"/>
      </w:pPr>
    </w:lvl>
    <w:lvl w:ilvl="4" w:tplc="03FE718A" w:tentative="1">
      <w:start w:val="1"/>
      <w:numFmt w:val="decimal"/>
      <w:lvlText w:val="%5."/>
      <w:lvlJc w:val="left"/>
      <w:pPr>
        <w:tabs>
          <w:tab w:val="num" w:pos="3600"/>
        </w:tabs>
        <w:ind w:left="3600" w:hanging="360"/>
      </w:pPr>
    </w:lvl>
    <w:lvl w:ilvl="5" w:tplc="2D209216" w:tentative="1">
      <w:start w:val="1"/>
      <w:numFmt w:val="decimal"/>
      <w:lvlText w:val="%6."/>
      <w:lvlJc w:val="left"/>
      <w:pPr>
        <w:tabs>
          <w:tab w:val="num" w:pos="4320"/>
        </w:tabs>
        <w:ind w:left="4320" w:hanging="360"/>
      </w:pPr>
    </w:lvl>
    <w:lvl w:ilvl="6" w:tplc="CD78135C" w:tentative="1">
      <w:start w:val="1"/>
      <w:numFmt w:val="decimal"/>
      <w:lvlText w:val="%7."/>
      <w:lvlJc w:val="left"/>
      <w:pPr>
        <w:tabs>
          <w:tab w:val="num" w:pos="5040"/>
        </w:tabs>
        <w:ind w:left="5040" w:hanging="360"/>
      </w:pPr>
    </w:lvl>
    <w:lvl w:ilvl="7" w:tplc="2A008FEE" w:tentative="1">
      <w:start w:val="1"/>
      <w:numFmt w:val="decimal"/>
      <w:lvlText w:val="%8."/>
      <w:lvlJc w:val="left"/>
      <w:pPr>
        <w:tabs>
          <w:tab w:val="num" w:pos="5760"/>
        </w:tabs>
        <w:ind w:left="5760" w:hanging="360"/>
      </w:pPr>
    </w:lvl>
    <w:lvl w:ilvl="8" w:tplc="2C3086B4" w:tentative="1">
      <w:start w:val="1"/>
      <w:numFmt w:val="decimal"/>
      <w:lvlText w:val="%9."/>
      <w:lvlJc w:val="left"/>
      <w:pPr>
        <w:tabs>
          <w:tab w:val="num" w:pos="6480"/>
        </w:tabs>
        <w:ind w:left="6480" w:hanging="360"/>
      </w:pPr>
    </w:lvl>
  </w:abstractNum>
  <w:abstractNum w:abstractNumId="6" w15:restartNumberingAfterBreak="0">
    <w:nsid w:val="14BB7D23"/>
    <w:multiLevelType w:val="multilevel"/>
    <w:tmpl w:val="1264F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C9206B"/>
    <w:multiLevelType w:val="hybridMultilevel"/>
    <w:tmpl w:val="2A2C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448D3"/>
    <w:multiLevelType w:val="multilevel"/>
    <w:tmpl w:val="34D056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B74DDD"/>
    <w:multiLevelType w:val="multilevel"/>
    <w:tmpl w:val="D21AC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11F01"/>
    <w:multiLevelType w:val="hybridMultilevel"/>
    <w:tmpl w:val="2CE84F16"/>
    <w:lvl w:ilvl="0" w:tplc="7F96027C">
      <w:start w:val="2"/>
      <w:numFmt w:val="lowerRoman"/>
      <w:lvlText w:val="%1."/>
      <w:lvlJc w:val="right"/>
      <w:pPr>
        <w:tabs>
          <w:tab w:val="num" w:pos="720"/>
        </w:tabs>
        <w:ind w:left="720" w:hanging="360"/>
      </w:pPr>
    </w:lvl>
    <w:lvl w:ilvl="1" w:tplc="CD76A5DE" w:tentative="1">
      <w:start w:val="1"/>
      <w:numFmt w:val="decimal"/>
      <w:lvlText w:val="%2."/>
      <w:lvlJc w:val="left"/>
      <w:pPr>
        <w:tabs>
          <w:tab w:val="num" w:pos="1440"/>
        </w:tabs>
        <w:ind w:left="1440" w:hanging="360"/>
      </w:pPr>
    </w:lvl>
    <w:lvl w:ilvl="2" w:tplc="A020831C" w:tentative="1">
      <w:start w:val="1"/>
      <w:numFmt w:val="decimal"/>
      <w:lvlText w:val="%3."/>
      <w:lvlJc w:val="left"/>
      <w:pPr>
        <w:tabs>
          <w:tab w:val="num" w:pos="2160"/>
        </w:tabs>
        <w:ind w:left="2160" w:hanging="360"/>
      </w:pPr>
    </w:lvl>
    <w:lvl w:ilvl="3" w:tplc="70641EC6" w:tentative="1">
      <w:start w:val="1"/>
      <w:numFmt w:val="decimal"/>
      <w:lvlText w:val="%4."/>
      <w:lvlJc w:val="left"/>
      <w:pPr>
        <w:tabs>
          <w:tab w:val="num" w:pos="2880"/>
        </w:tabs>
        <w:ind w:left="2880" w:hanging="360"/>
      </w:pPr>
    </w:lvl>
    <w:lvl w:ilvl="4" w:tplc="EA1A7E18" w:tentative="1">
      <w:start w:val="1"/>
      <w:numFmt w:val="decimal"/>
      <w:lvlText w:val="%5."/>
      <w:lvlJc w:val="left"/>
      <w:pPr>
        <w:tabs>
          <w:tab w:val="num" w:pos="3600"/>
        </w:tabs>
        <w:ind w:left="3600" w:hanging="360"/>
      </w:pPr>
    </w:lvl>
    <w:lvl w:ilvl="5" w:tplc="E18EC3C2" w:tentative="1">
      <w:start w:val="1"/>
      <w:numFmt w:val="decimal"/>
      <w:lvlText w:val="%6."/>
      <w:lvlJc w:val="left"/>
      <w:pPr>
        <w:tabs>
          <w:tab w:val="num" w:pos="4320"/>
        </w:tabs>
        <w:ind w:left="4320" w:hanging="360"/>
      </w:pPr>
    </w:lvl>
    <w:lvl w:ilvl="6" w:tplc="7062E8B8" w:tentative="1">
      <w:start w:val="1"/>
      <w:numFmt w:val="decimal"/>
      <w:lvlText w:val="%7."/>
      <w:lvlJc w:val="left"/>
      <w:pPr>
        <w:tabs>
          <w:tab w:val="num" w:pos="5040"/>
        </w:tabs>
        <w:ind w:left="5040" w:hanging="360"/>
      </w:pPr>
    </w:lvl>
    <w:lvl w:ilvl="7" w:tplc="992C9C66" w:tentative="1">
      <w:start w:val="1"/>
      <w:numFmt w:val="decimal"/>
      <w:lvlText w:val="%8."/>
      <w:lvlJc w:val="left"/>
      <w:pPr>
        <w:tabs>
          <w:tab w:val="num" w:pos="5760"/>
        </w:tabs>
        <w:ind w:left="5760" w:hanging="360"/>
      </w:pPr>
    </w:lvl>
    <w:lvl w:ilvl="8" w:tplc="6FB2A2A6" w:tentative="1">
      <w:start w:val="1"/>
      <w:numFmt w:val="decimal"/>
      <w:lvlText w:val="%9."/>
      <w:lvlJc w:val="left"/>
      <w:pPr>
        <w:tabs>
          <w:tab w:val="num" w:pos="6480"/>
        </w:tabs>
        <w:ind w:left="6480" w:hanging="360"/>
      </w:pPr>
    </w:lvl>
  </w:abstractNum>
  <w:abstractNum w:abstractNumId="11" w15:restartNumberingAfterBreak="0">
    <w:nsid w:val="27227F61"/>
    <w:multiLevelType w:val="hybridMultilevel"/>
    <w:tmpl w:val="0C7A21A2"/>
    <w:lvl w:ilvl="0" w:tplc="87BE07AE">
      <w:start w:val="1"/>
      <w:numFmt w:val="bullet"/>
      <w:lvlText w:val=""/>
      <w:lvlJc w:val="left"/>
      <w:pPr>
        <w:ind w:left="521" w:hanging="360"/>
      </w:pPr>
      <w:rPr>
        <w:rFonts w:ascii="Symbol" w:hAnsi="Symbol" w:cs="Symbol" w:hint="default"/>
        <w:color w:val="auto"/>
      </w:rPr>
    </w:lvl>
    <w:lvl w:ilvl="1" w:tplc="04090003" w:tentative="1">
      <w:start w:val="1"/>
      <w:numFmt w:val="bullet"/>
      <w:lvlText w:val="o"/>
      <w:lvlJc w:val="left"/>
      <w:pPr>
        <w:ind w:left="1241" w:hanging="360"/>
      </w:pPr>
      <w:rPr>
        <w:rFonts w:ascii="Courier New" w:hAnsi="Courier New" w:cs="Courier New" w:hint="default"/>
      </w:rPr>
    </w:lvl>
    <w:lvl w:ilvl="2" w:tplc="04090005" w:tentative="1">
      <w:start w:val="1"/>
      <w:numFmt w:val="bullet"/>
      <w:lvlText w:val=""/>
      <w:lvlJc w:val="left"/>
      <w:pPr>
        <w:ind w:left="1961" w:hanging="360"/>
      </w:pPr>
      <w:rPr>
        <w:rFonts w:ascii="Wingdings" w:hAnsi="Wingdings" w:hint="default"/>
      </w:rPr>
    </w:lvl>
    <w:lvl w:ilvl="3" w:tplc="04090001" w:tentative="1">
      <w:start w:val="1"/>
      <w:numFmt w:val="bullet"/>
      <w:lvlText w:val=""/>
      <w:lvlJc w:val="left"/>
      <w:pPr>
        <w:ind w:left="2681" w:hanging="360"/>
      </w:pPr>
      <w:rPr>
        <w:rFonts w:ascii="Symbol" w:hAnsi="Symbol" w:hint="default"/>
      </w:rPr>
    </w:lvl>
    <w:lvl w:ilvl="4" w:tplc="04090003" w:tentative="1">
      <w:start w:val="1"/>
      <w:numFmt w:val="bullet"/>
      <w:lvlText w:val="o"/>
      <w:lvlJc w:val="left"/>
      <w:pPr>
        <w:ind w:left="3401" w:hanging="360"/>
      </w:pPr>
      <w:rPr>
        <w:rFonts w:ascii="Courier New" w:hAnsi="Courier New" w:cs="Courier New" w:hint="default"/>
      </w:rPr>
    </w:lvl>
    <w:lvl w:ilvl="5" w:tplc="04090005" w:tentative="1">
      <w:start w:val="1"/>
      <w:numFmt w:val="bullet"/>
      <w:lvlText w:val=""/>
      <w:lvlJc w:val="left"/>
      <w:pPr>
        <w:ind w:left="4121" w:hanging="360"/>
      </w:pPr>
      <w:rPr>
        <w:rFonts w:ascii="Wingdings" w:hAnsi="Wingdings" w:hint="default"/>
      </w:rPr>
    </w:lvl>
    <w:lvl w:ilvl="6" w:tplc="04090001" w:tentative="1">
      <w:start w:val="1"/>
      <w:numFmt w:val="bullet"/>
      <w:lvlText w:val=""/>
      <w:lvlJc w:val="left"/>
      <w:pPr>
        <w:ind w:left="4841" w:hanging="360"/>
      </w:pPr>
      <w:rPr>
        <w:rFonts w:ascii="Symbol" w:hAnsi="Symbol" w:hint="default"/>
      </w:rPr>
    </w:lvl>
    <w:lvl w:ilvl="7" w:tplc="04090003" w:tentative="1">
      <w:start w:val="1"/>
      <w:numFmt w:val="bullet"/>
      <w:lvlText w:val="o"/>
      <w:lvlJc w:val="left"/>
      <w:pPr>
        <w:ind w:left="5561" w:hanging="360"/>
      </w:pPr>
      <w:rPr>
        <w:rFonts w:ascii="Courier New" w:hAnsi="Courier New" w:cs="Courier New" w:hint="default"/>
      </w:rPr>
    </w:lvl>
    <w:lvl w:ilvl="8" w:tplc="04090005" w:tentative="1">
      <w:start w:val="1"/>
      <w:numFmt w:val="bullet"/>
      <w:lvlText w:val=""/>
      <w:lvlJc w:val="left"/>
      <w:pPr>
        <w:ind w:left="6281" w:hanging="360"/>
      </w:pPr>
      <w:rPr>
        <w:rFonts w:ascii="Wingdings" w:hAnsi="Wingdings" w:hint="default"/>
      </w:rPr>
    </w:lvl>
  </w:abstractNum>
  <w:abstractNum w:abstractNumId="12" w15:restartNumberingAfterBreak="0">
    <w:nsid w:val="32E41320"/>
    <w:multiLevelType w:val="hybridMultilevel"/>
    <w:tmpl w:val="C5362418"/>
    <w:lvl w:ilvl="0" w:tplc="D00033E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57E3E8C"/>
    <w:multiLevelType w:val="multilevel"/>
    <w:tmpl w:val="5D609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354FCC"/>
    <w:multiLevelType w:val="hybridMultilevel"/>
    <w:tmpl w:val="34FC386E"/>
    <w:lvl w:ilvl="0" w:tplc="2BB64E3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2A58"/>
    <w:multiLevelType w:val="hybridMultilevel"/>
    <w:tmpl w:val="003C4A8A"/>
    <w:lvl w:ilvl="0" w:tplc="2710F364">
      <w:start w:val="1"/>
      <w:numFmt w:val="decimal"/>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950C9B"/>
    <w:multiLevelType w:val="multilevel"/>
    <w:tmpl w:val="78CCC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E0817"/>
    <w:multiLevelType w:val="hybridMultilevel"/>
    <w:tmpl w:val="298C4562"/>
    <w:lvl w:ilvl="0" w:tplc="212E2A48">
      <w:start w:val="2"/>
      <w:numFmt w:val="lowerRoman"/>
      <w:lvlText w:val="%1."/>
      <w:lvlJc w:val="right"/>
      <w:pPr>
        <w:tabs>
          <w:tab w:val="num" w:pos="720"/>
        </w:tabs>
        <w:ind w:left="720" w:hanging="360"/>
      </w:pPr>
    </w:lvl>
    <w:lvl w:ilvl="1" w:tplc="659C7CAE" w:tentative="1">
      <w:start w:val="1"/>
      <w:numFmt w:val="decimal"/>
      <w:lvlText w:val="%2."/>
      <w:lvlJc w:val="left"/>
      <w:pPr>
        <w:tabs>
          <w:tab w:val="num" w:pos="1440"/>
        </w:tabs>
        <w:ind w:left="1440" w:hanging="360"/>
      </w:pPr>
    </w:lvl>
    <w:lvl w:ilvl="2" w:tplc="7F08E116" w:tentative="1">
      <w:start w:val="1"/>
      <w:numFmt w:val="decimal"/>
      <w:lvlText w:val="%3."/>
      <w:lvlJc w:val="left"/>
      <w:pPr>
        <w:tabs>
          <w:tab w:val="num" w:pos="2160"/>
        </w:tabs>
        <w:ind w:left="2160" w:hanging="360"/>
      </w:pPr>
    </w:lvl>
    <w:lvl w:ilvl="3" w:tplc="82E86434" w:tentative="1">
      <w:start w:val="1"/>
      <w:numFmt w:val="decimal"/>
      <w:lvlText w:val="%4."/>
      <w:lvlJc w:val="left"/>
      <w:pPr>
        <w:tabs>
          <w:tab w:val="num" w:pos="2880"/>
        </w:tabs>
        <w:ind w:left="2880" w:hanging="360"/>
      </w:pPr>
    </w:lvl>
    <w:lvl w:ilvl="4" w:tplc="86B424A0" w:tentative="1">
      <w:start w:val="1"/>
      <w:numFmt w:val="decimal"/>
      <w:lvlText w:val="%5."/>
      <w:lvlJc w:val="left"/>
      <w:pPr>
        <w:tabs>
          <w:tab w:val="num" w:pos="3600"/>
        </w:tabs>
        <w:ind w:left="3600" w:hanging="360"/>
      </w:pPr>
    </w:lvl>
    <w:lvl w:ilvl="5" w:tplc="61569176" w:tentative="1">
      <w:start w:val="1"/>
      <w:numFmt w:val="decimal"/>
      <w:lvlText w:val="%6."/>
      <w:lvlJc w:val="left"/>
      <w:pPr>
        <w:tabs>
          <w:tab w:val="num" w:pos="4320"/>
        </w:tabs>
        <w:ind w:left="4320" w:hanging="360"/>
      </w:pPr>
    </w:lvl>
    <w:lvl w:ilvl="6" w:tplc="D3200BBA" w:tentative="1">
      <w:start w:val="1"/>
      <w:numFmt w:val="decimal"/>
      <w:lvlText w:val="%7."/>
      <w:lvlJc w:val="left"/>
      <w:pPr>
        <w:tabs>
          <w:tab w:val="num" w:pos="5040"/>
        </w:tabs>
        <w:ind w:left="5040" w:hanging="360"/>
      </w:pPr>
    </w:lvl>
    <w:lvl w:ilvl="7" w:tplc="5E4E3DD2" w:tentative="1">
      <w:start w:val="1"/>
      <w:numFmt w:val="decimal"/>
      <w:lvlText w:val="%8."/>
      <w:lvlJc w:val="left"/>
      <w:pPr>
        <w:tabs>
          <w:tab w:val="num" w:pos="5760"/>
        </w:tabs>
        <w:ind w:left="5760" w:hanging="360"/>
      </w:pPr>
    </w:lvl>
    <w:lvl w:ilvl="8" w:tplc="2D64D160" w:tentative="1">
      <w:start w:val="1"/>
      <w:numFmt w:val="decimal"/>
      <w:lvlText w:val="%9."/>
      <w:lvlJc w:val="left"/>
      <w:pPr>
        <w:tabs>
          <w:tab w:val="num" w:pos="6480"/>
        </w:tabs>
        <w:ind w:left="6480" w:hanging="360"/>
      </w:pPr>
    </w:lvl>
  </w:abstractNum>
  <w:abstractNum w:abstractNumId="18" w15:restartNumberingAfterBreak="0">
    <w:nsid w:val="53F652CA"/>
    <w:multiLevelType w:val="hybridMultilevel"/>
    <w:tmpl w:val="B2C4B21A"/>
    <w:lvl w:ilvl="0" w:tplc="0409000F">
      <w:start w:val="1"/>
      <w:numFmt w:val="decimal"/>
      <w:lvlText w:val="%1."/>
      <w:lvlJc w:val="left"/>
      <w:pPr>
        <w:ind w:left="1440" w:hanging="360"/>
      </w:pPr>
    </w:lvl>
    <w:lvl w:ilvl="1" w:tplc="32E4A7EA">
      <w:start w:val="1"/>
      <w:numFmt w:val="lowerLetter"/>
      <w:lvlText w:val="%2."/>
      <w:lvlJc w:val="left"/>
      <w:pPr>
        <w:ind w:left="2205" w:hanging="40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A5407B4"/>
    <w:multiLevelType w:val="hybridMultilevel"/>
    <w:tmpl w:val="82102600"/>
    <w:lvl w:ilvl="0" w:tplc="D00033E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E569A"/>
    <w:multiLevelType w:val="hybridMultilevel"/>
    <w:tmpl w:val="68CE3968"/>
    <w:lvl w:ilvl="0" w:tplc="53C2A242">
      <w:numFmt w:val="bullet"/>
      <w:lvlText w:val="-"/>
      <w:lvlJc w:val="left"/>
      <w:pPr>
        <w:ind w:left="1140" w:hanging="4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AA0FB7"/>
    <w:multiLevelType w:val="multilevel"/>
    <w:tmpl w:val="22A43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354025"/>
    <w:multiLevelType w:val="hybridMultilevel"/>
    <w:tmpl w:val="350A247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18"/>
  </w:num>
  <w:num w:numId="2">
    <w:abstractNumId w:val="20"/>
  </w:num>
  <w:num w:numId="3">
    <w:abstractNumId w:val="12"/>
  </w:num>
  <w:num w:numId="4">
    <w:abstractNumId w:val="15"/>
  </w:num>
  <w:num w:numId="5">
    <w:abstractNumId w:val="3"/>
  </w:num>
  <w:num w:numId="6">
    <w:abstractNumId w:val="19"/>
  </w:num>
  <w:num w:numId="7">
    <w:abstractNumId w:val="0"/>
  </w:num>
  <w:num w:numId="8">
    <w:abstractNumId w:val="16"/>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21"/>
    <w:lvlOverride w:ilvl="0">
      <w:lvl w:ilvl="0">
        <w:numFmt w:val="lowerRoman"/>
        <w:lvlText w:val="%1."/>
        <w:lvlJc w:val="right"/>
      </w:lvl>
    </w:lvlOverride>
  </w:num>
  <w:num w:numId="11">
    <w:abstractNumId w:val="10"/>
  </w:num>
  <w:num w:numId="12">
    <w:abstractNumId w:val="10"/>
    <w:lvlOverride w:ilvl="0">
      <w:lvl w:ilvl="0" w:tplc="7F96027C">
        <w:numFmt w:val="lowerRoman"/>
        <w:lvlText w:val="%1."/>
        <w:lvlJc w:val="right"/>
      </w:lvl>
    </w:lvlOverride>
  </w:num>
  <w:num w:numId="13">
    <w:abstractNumId w:val="10"/>
    <w:lvlOverride w:ilvl="0">
      <w:lvl w:ilvl="0" w:tplc="7F96027C">
        <w:numFmt w:val="lowerRoman"/>
        <w:lvlText w:val="%1."/>
        <w:lvlJc w:val="right"/>
      </w:lvl>
    </w:lvlOverride>
  </w:num>
  <w:num w:numId="14">
    <w:abstractNumId w:val="10"/>
    <w:lvlOverride w:ilvl="0">
      <w:lvl w:ilvl="0" w:tplc="7F96027C">
        <w:numFmt w:val="lowerRoman"/>
        <w:lvlText w:val="%1."/>
        <w:lvlJc w:val="right"/>
      </w:lvl>
    </w:lvlOverride>
  </w:num>
  <w:num w:numId="15">
    <w:abstractNumId w:val="8"/>
    <w:lvlOverride w:ilvl="0">
      <w:lvl w:ilvl="0">
        <w:numFmt w:val="decimal"/>
        <w:lvlText w:val="%1."/>
        <w:lvlJc w:val="left"/>
      </w:lvl>
    </w:lvlOverride>
  </w:num>
  <w:num w:numId="16">
    <w:abstractNumId w:val="6"/>
    <w:lvlOverride w:ilvl="0">
      <w:lvl w:ilvl="0">
        <w:numFmt w:val="lowerLetter"/>
        <w:lvlText w:val="%1."/>
        <w:lvlJc w:val="left"/>
      </w:lvl>
    </w:lvlOverride>
  </w:num>
  <w:num w:numId="17">
    <w:abstractNumId w:val="5"/>
  </w:num>
  <w:num w:numId="18">
    <w:abstractNumId w:val="9"/>
    <w:lvlOverride w:ilvl="0">
      <w:lvl w:ilvl="0">
        <w:numFmt w:val="lowerRoman"/>
        <w:lvlText w:val="%1."/>
        <w:lvlJc w:val="right"/>
      </w:lvl>
    </w:lvlOverride>
  </w:num>
  <w:num w:numId="19">
    <w:abstractNumId w:val="17"/>
  </w:num>
  <w:num w:numId="20">
    <w:abstractNumId w:val="2"/>
  </w:num>
  <w:num w:numId="21">
    <w:abstractNumId w:val="7"/>
  </w:num>
  <w:num w:numId="22">
    <w:abstractNumId w:val="22"/>
  </w:num>
  <w:num w:numId="23">
    <w:abstractNumId w:val="4"/>
  </w:num>
  <w:num w:numId="24">
    <w:abstractNumId w:val="1"/>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A2"/>
    <w:rsid w:val="00000C08"/>
    <w:rsid w:val="00010A52"/>
    <w:rsid w:val="00012430"/>
    <w:rsid w:val="00017C37"/>
    <w:rsid w:val="00020A92"/>
    <w:rsid w:val="00040566"/>
    <w:rsid w:val="00076F6A"/>
    <w:rsid w:val="00080127"/>
    <w:rsid w:val="000841C4"/>
    <w:rsid w:val="000A4A3D"/>
    <w:rsid w:val="000D6A5C"/>
    <w:rsid w:val="000E7408"/>
    <w:rsid w:val="000F03F9"/>
    <w:rsid w:val="00112545"/>
    <w:rsid w:val="00114D44"/>
    <w:rsid w:val="00122934"/>
    <w:rsid w:val="001452CB"/>
    <w:rsid w:val="00150C56"/>
    <w:rsid w:val="00183EFA"/>
    <w:rsid w:val="00184A33"/>
    <w:rsid w:val="00192467"/>
    <w:rsid w:val="001A14F7"/>
    <w:rsid w:val="001A30F1"/>
    <w:rsid w:val="001B25E7"/>
    <w:rsid w:val="001B4956"/>
    <w:rsid w:val="001D6656"/>
    <w:rsid w:val="001E487B"/>
    <w:rsid w:val="001F19F8"/>
    <w:rsid w:val="001F6C9E"/>
    <w:rsid w:val="00221D0E"/>
    <w:rsid w:val="0022238B"/>
    <w:rsid w:val="00222A5E"/>
    <w:rsid w:val="00233CA1"/>
    <w:rsid w:val="00254791"/>
    <w:rsid w:val="002807E8"/>
    <w:rsid w:val="002A0EE2"/>
    <w:rsid w:val="002A3334"/>
    <w:rsid w:val="002A4976"/>
    <w:rsid w:val="002B1A2B"/>
    <w:rsid w:val="002B5AA1"/>
    <w:rsid w:val="002E1A9D"/>
    <w:rsid w:val="002E2543"/>
    <w:rsid w:val="002F1FC2"/>
    <w:rsid w:val="00312E43"/>
    <w:rsid w:val="003238DB"/>
    <w:rsid w:val="00330B95"/>
    <w:rsid w:val="00341BBD"/>
    <w:rsid w:val="0036069D"/>
    <w:rsid w:val="003A7AFA"/>
    <w:rsid w:val="003B4E97"/>
    <w:rsid w:val="003B74BD"/>
    <w:rsid w:val="003C4FE3"/>
    <w:rsid w:val="003D317C"/>
    <w:rsid w:val="003D5C0E"/>
    <w:rsid w:val="0040078F"/>
    <w:rsid w:val="00432404"/>
    <w:rsid w:val="0045569C"/>
    <w:rsid w:val="004822C3"/>
    <w:rsid w:val="00492609"/>
    <w:rsid w:val="004A0528"/>
    <w:rsid w:val="004D2155"/>
    <w:rsid w:val="004E35C4"/>
    <w:rsid w:val="004E3F44"/>
    <w:rsid w:val="00512F06"/>
    <w:rsid w:val="00544A0D"/>
    <w:rsid w:val="00563919"/>
    <w:rsid w:val="00594D8C"/>
    <w:rsid w:val="005B52C8"/>
    <w:rsid w:val="005C22CC"/>
    <w:rsid w:val="005C3C95"/>
    <w:rsid w:val="005D138E"/>
    <w:rsid w:val="005E690D"/>
    <w:rsid w:val="006033A6"/>
    <w:rsid w:val="0063792F"/>
    <w:rsid w:val="006570ED"/>
    <w:rsid w:val="00657465"/>
    <w:rsid w:val="00682069"/>
    <w:rsid w:val="006B26C6"/>
    <w:rsid w:val="006C0F70"/>
    <w:rsid w:val="006C268F"/>
    <w:rsid w:val="006E2111"/>
    <w:rsid w:val="00700074"/>
    <w:rsid w:val="00715800"/>
    <w:rsid w:val="007337A4"/>
    <w:rsid w:val="007416E4"/>
    <w:rsid w:val="00743ED2"/>
    <w:rsid w:val="007834E3"/>
    <w:rsid w:val="00794810"/>
    <w:rsid w:val="007A1CCB"/>
    <w:rsid w:val="007A5D1B"/>
    <w:rsid w:val="007A6D12"/>
    <w:rsid w:val="007B0BB5"/>
    <w:rsid w:val="007B1E74"/>
    <w:rsid w:val="007B3CCB"/>
    <w:rsid w:val="007C4409"/>
    <w:rsid w:val="007E76D4"/>
    <w:rsid w:val="00806644"/>
    <w:rsid w:val="00814068"/>
    <w:rsid w:val="0081407D"/>
    <w:rsid w:val="00822B07"/>
    <w:rsid w:val="00826F17"/>
    <w:rsid w:val="00856908"/>
    <w:rsid w:val="008633AC"/>
    <w:rsid w:val="0086650C"/>
    <w:rsid w:val="00875F67"/>
    <w:rsid w:val="008A24EE"/>
    <w:rsid w:val="008C24E5"/>
    <w:rsid w:val="008C3376"/>
    <w:rsid w:val="008D62CD"/>
    <w:rsid w:val="008F11D0"/>
    <w:rsid w:val="00906442"/>
    <w:rsid w:val="00906DF6"/>
    <w:rsid w:val="00912412"/>
    <w:rsid w:val="00940634"/>
    <w:rsid w:val="00950647"/>
    <w:rsid w:val="00970B41"/>
    <w:rsid w:val="00973FF3"/>
    <w:rsid w:val="00974CDF"/>
    <w:rsid w:val="009A59A2"/>
    <w:rsid w:val="009A6FF9"/>
    <w:rsid w:val="009B077B"/>
    <w:rsid w:val="009C6BE0"/>
    <w:rsid w:val="009E77BD"/>
    <w:rsid w:val="009F367C"/>
    <w:rsid w:val="009F4021"/>
    <w:rsid w:val="00A00D56"/>
    <w:rsid w:val="00A041BA"/>
    <w:rsid w:val="00A10334"/>
    <w:rsid w:val="00A15D04"/>
    <w:rsid w:val="00A16969"/>
    <w:rsid w:val="00A20E4D"/>
    <w:rsid w:val="00A31260"/>
    <w:rsid w:val="00A35680"/>
    <w:rsid w:val="00A36C35"/>
    <w:rsid w:val="00AB1396"/>
    <w:rsid w:val="00AC1AD5"/>
    <w:rsid w:val="00AC711A"/>
    <w:rsid w:val="00AC7605"/>
    <w:rsid w:val="00AD1AF5"/>
    <w:rsid w:val="00B2067B"/>
    <w:rsid w:val="00B24417"/>
    <w:rsid w:val="00B24FB8"/>
    <w:rsid w:val="00B31B77"/>
    <w:rsid w:val="00B40497"/>
    <w:rsid w:val="00B431B2"/>
    <w:rsid w:val="00B66282"/>
    <w:rsid w:val="00B94DA6"/>
    <w:rsid w:val="00B97D5F"/>
    <w:rsid w:val="00BB17A7"/>
    <w:rsid w:val="00BC439C"/>
    <w:rsid w:val="00BD04B3"/>
    <w:rsid w:val="00BE1B22"/>
    <w:rsid w:val="00C04196"/>
    <w:rsid w:val="00C04BB1"/>
    <w:rsid w:val="00C10674"/>
    <w:rsid w:val="00C22EA5"/>
    <w:rsid w:val="00C278F2"/>
    <w:rsid w:val="00C50CF1"/>
    <w:rsid w:val="00C574C9"/>
    <w:rsid w:val="00C667E4"/>
    <w:rsid w:val="00C8760D"/>
    <w:rsid w:val="00C95DEA"/>
    <w:rsid w:val="00CA185E"/>
    <w:rsid w:val="00CA7A5F"/>
    <w:rsid w:val="00CD3909"/>
    <w:rsid w:val="00CD71DB"/>
    <w:rsid w:val="00CE0BD1"/>
    <w:rsid w:val="00CE303F"/>
    <w:rsid w:val="00CE42BC"/>
    <w:rsid w:val="00D16495"/>
    <w:rsid w:val="00D225BD"/>
    <w:rsid w:val="00D24993"/>
    <w:rsid w:val="00D430E9"/>
    <w:rsid w:val="00D4417D"/>
    <w:rsid w:val="00D5017D"/>
    <w:rsid w:val="00D64ED8"/>
    <w:rsid w:val="00D66BC6"/>
    <w:rsid w:val="00D77784"/>
    <w:rsid w:val="00D802CC"/>
    <w:rsid w:val="00D86B31"/>
    <w:rsid w:val="00D87EC9"/>
    <w:rsid w:val="00DA0C90"/>
    <w:rsid w:val="00DA17CF"/>
    <w:rsid w:val="00DA2E67"/>
    <w:rsid w:val="00DA53BE"/>
    <w:rsid w:val="00DB582E"/>
    <w:rsid w:val="00DD01C2"/>
    <w:rsid w:val="00DD0DCD"/>
    <w:rsid w:val="00DD222B"/>
    <w:rsid w:val="00E0335C"/>
    <w:rsid w:val="00E32F09"/>
    <w:rsid w:val="00E45576"/>
    <w:rsid w:val="00E6000F"/>
    <w:rsid w:val="00E6177D"/>
    <w:rsid w:val="00EB337A"/>
    <w:rsid w:val="00ED0355"/>
    <w:rsid w:val="00EE34B2"/>
    <w:rsid w:val="00EF34B7"/>
    <w:rsid w:val="00EF7DDB"/>
    <w:rsid w:val="00F06C0B"/>
    <w:rsid w:val="00F16026"/>
    <w:rsid w:val="00F30A17"/>
    <w:rsid w:val="00F7489F"/>
    <w:rsid w:val="00F75B19"/>
    <w:rsid w:val="00F771BA"/>
    <w:rsid w:val="00F823C7"/>
    <w:rsid w:val="00F86F96"/>
    <w:rsid w:val="00F91F7A"/>
    <w:rsid w:val="00FA482A"/>
    <w:rsid w:val="00FC3BA3"/>
    <w:rsid w:val="00FD51A1"/>
    <w:rsid w:val="00FD6F52"/>
    <w:rsid w:val="00FE2229"/>
    <w:rsid w:val="00FE5399"/>
    <w:rsid w:val="00FE754C"/>
    <w:rsid w:val="00FF1D90"/>
    <w:rsid w:val="00FF6C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E3E19"/>
  <w15:chartTrackingRefBased/>
  <w15:docId w15:val="{0E75E767-DA4B-43C6-8272-682A9749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2CC"/>
    <w:pPr>
      <w:spacing w:after="0" w:line="240" w:lineRule="auto"/>
    </w:pPr>
    <w:rPr>
      <w:rFonts w:ascii="Calibri" w:hAnsi="Calibri" w:cs="Calibri"/>
    </w:rPr>
  </w:style>
  <w:style w:type="paragraph" w:styleId="Heading1">
    <w:name w:val="heading 1"/>
    <w:basedOn w:val="Normal"/>
    <w:next w:val="Normal"/>
    <w:link w:val="Heading1Char"/>
    <w:uiPriority w:val="9"/>
    <w:qFormat/>
    <w:rsid w:val="005C22C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22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628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8455159250973336675msolistparagraph">
    <w:name w:val="gmail-m_-8455159250973336675msolistparagraph"/>
    <w:basedOn w:val="Normal"/>
    <w:rsid w:val="005C22CC"/>
    <w:pPr>
      <w:spacing w:before="100" w:beforeAutospacing="1" w:after="100" w:afterAutospacing="1"/>
    </w:pPr>
  </w:style>
  <w:style w:type="character" w:customStyle="1" w:styleId="Heading1Char">
    <w:name w:val="Heading 1 Char"/>
    <w:basedOn w:val="DefaultParagraphFont"/>
    <w:link w:val="Heading1"/>
    <w:uiPriority w:val="9"/>
    <w:rsid w:val="005C22C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22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C22CC"/>
    <w:pPr>
      <w:ind w:left="720"/>
      <w:contextualSpacing/>
    </w:pPr>
  </w:style>
  <w:style w:type="character" w:styleId="Hyperlink">
    <w:name w:val="Hyperlink"/>
    <w:basedOn w:val="DefaultParagraphFont"/>
    <w:uiPriority w:val="99"/>
    <w:unhideWhenUsed/>
    <w:rsid w:val="00040566"/>
    <w:rPr>
      <w:color w:val="0563C1" w:themeColor="hyperlink"/>
      <w:u w:val="single"/>
    </w:rPr>
  </w:style>
  <w:style w:type="character" w:styleId="UnresolvedMention">
    <w:name w:val="Unresolved Mention"/>
    <w:basedOn w:val="DefaultParagraphFont"/>
    <w:uiPriority w:val="99"/>
    <w:semiHidden/>
    <w:unhideWhenUsed/>
    <w:rsid w:val="002807E8"/>
    <w:rPr>
      <w:color w:val="605E5C"/>
      <w:shd w:val="clear" w:color="auto" w:fill="E1DFDD"/>
    </w:rPr>
  </w:style>
  <w:style w:type="character" w:styleId="FollowedHyperlink">
    <w:name w:val="FollowedHyperlink"/>
    <w:basedOn w:val="DefaultParagraphFont"/>
    <w:uiPriority w:val="99"/>
    <w:semiHidden/>
    <w:unhideWhenUsed/>
    <w:rsid w:val="00E6000F"/>
    <w:rPr>
      <w:color w:val="954F72" w:themeColor="followedHyperlink"/>
      <w:u w:val="single"/>
    </w:rPr>
  </w:style>
  <w:style w:type="table" w:styleId="TableGrid">
    <w:name w:val="Table Grid"/>
    <w:basedOn w:val="TableNormal"/>
    <w:uiPriority w:val="39"/>
    <w:rsid w:val="007B3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1B77"/>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6177D"/>
    <w:rPr>
      <w:sz w:val="16"/>
      <w:szCs w:val="16"/>
    </w:rPr>
  </w:style>
  <w:style w:type="paragraph" w:styleId="CommentText">
    <w:name w:val="annotation text"/>
    <w:basedOn w:val="Normal"/>
    <w:link w:val="CommentTextChar"/>
    <w:uiPriority w:val="99"/>
    <w:semiHidden/>
    <w:unhideWhenUsed/>
    <w:rsid w:val="00E6177D"/>
    <w:rPr>
      <w:sz w:val="20"/>
      <w:szCs w:val="20"/>
    </w:rPr>
  </w:style>
  <w:style w:type="character" w:customStyle="1" w:styleId="CommentTextChar">
    <w:name w:val="Comment Text Char"/>
    <w:basedOn w:val="DefaultParagraphFont"/>
    <w:link w:val="CommentText"/>
    <w:uiPriority w:val="99"/>
    <w:semiHidden/>
    <w:rsid w:val="00E6177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6177D"/>
    <w:rPr>
      <w:b/>
      <w:bCs/>
    </w:rPr>
  </w:style>
  <w:style w:type="character" w:customStyle="1" w:styleId="CommentSubjectChar">
    <w:name w:val="Comment Subject Char"/>
    <w:basedOn w:val="CommentTextChar"/>
    <w:link w:val="CommentSubject"/>
    <w:uiPriority w:val="99"/>
    <w:semiHidden/>
    <w:rsid w:val="00E6177D"/>
    <w:rPr>
      <w:rFonts w:ascii="Calibri" w:hAnsi="Calibri" w:cs="Calibri"/>
      <w:b/>
      <w:bCs/>
      <w:sz w:val="20"/>
      <w:szCs w:val="20"/>
    </w:rPr>
  </w:style>
  <w:style w:type="character" w:customStyle="1" w:styleId="Heading3Char">
    <w:name w:val="Heading 3 Char"/>
    <w:basedOn w:val="DefaultParagraphFont"/>
    <w:link w:val="Heading3"/>
    <w:uiPriority w:val="9"/>
    <w:semiHidden/>
    <w:rsid w:val="00B66282"/>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492609"/>
    <w:pPr>
      <w:tabs>
        <w:tab w:val="center" w:pos="4680"/>
        <w:tab w:val="right" w:pos="9360"/>
      </w:tabs>
    </w:pPr>
  </w:style>
  <w:style w:type="character" w:customStyle="1" w:styleId="HeaderChar">
    <w:name w:val="Header Char"/>
    <w:basedOn w:val="DefaultParagraphFont"/>
    <w:link w:val="Header"/>
    <w:uiPriority w:val="99"/>
    <w:rsid w:val="00492609"/>
    <w:rPr>
      <w:rFonts w:ascii="Calibri" w:hAnsi="Calibri" w:cs="Calibri"/>
    </w:rPr>
  </w:style>
  <w:style w:type="paragraph" w:styleId="Footer">
    <w:name w:val="footer"/>
    <w:basedOn w:val="Normal"/>
    <w:link w:val="FooterChar"/>
    <w:uiPriority w:val="99"/>
    <w:unhideWhenUsed/>
    <w:rsid w:val="00492609"/>
    <w:pPr>
      <w:tabs>
        <w:tab w:val="center" w:pos="4680"/>
        <w:tab w:val="right" w:pos="9360"/>
      </w:tabs>
    </w:pPr>
  </w:style>
  <w:style w:type="character" w:customStyle="1" w:styleId="FooterChar">
    <w:name w:val="Footer Char"/>
    <w:basedOn w:val="DefaultParagraphFont"/>
    <w:link w:val="Footer"/>
    <w:uiPriority w:val="99"/>
    <w:rsid w:val="0049260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3349">
      <w:bodyDiv w:val="1"/>
      <w:marLeft w:val="0"/>
      <w:marRight w:val="0"/>
      <w:marTop w:val="0"/>
      <w:marBottom w:val="0"/>
      <w:divBdr>
        <w:top w:val="none" w:sz="0" w:space="0" w:color="auto"/>
        <w:left w:val="none" w:sz="0" w:space="0" w:color="auto"/>
        <w:bottom w:val="none" w:sz="0" w:space="0" w:color="auto"/>
        <w:right w:val="none" w:sz="0" w:space="0" w:color="auto"/>
      </w:divBdr>
    </w:div>
    <w:div w:id="604312274">
      <w:bodyDiv w:val="1"/>
      <w:marLeft w:val="0"/>
      <w:marRight w:val="0"/>
      <w:marTop w:val="0"/>
      <w:marBottom w:val="0"/>
      <w:divBdr>
        <w:top w:val="none" w:sz="0" w:space="0" w:color="auto"/>
        <w:left w:val="none" w:sz="0" w:space="0" w:color="auto"/>
        <w:bottom w:val="none" w:sz="0" w:space="0" w:color="auto"/>
        <w:right w:val="none" w:sz="0" w:space="0" w:color="auto"/>
      </w:divBdr>
    </w:div>
    <w:div w:id="1868987221">
      <w:bodyDiv w:val="1"/>
      <w:marLeft w:val="0"/>
      <w:marRight w:val="0"/>
      <w:marTop w:val="0"/>
      <w:marBottom w:val="0"/>
      <w:divBdr>
        <w:top w:val="none" w:sz="0" w:space="0" w:color="auto"/>
        <w:left w:val="none" w:sz="0" w:space="0" w:color="auto"/>
        <w:bottom w:val="none" w:sz="0" w:space="0" w:color="auto"/>
        <w:right w:val="none" w:sz="0" w:space="0" w:color="auto"/>
      </w:divBdr>
      <w:divsChild>
        <w:div w:id="1353068223">
          <w:marLeft w:val="612"/>
          <w:marRight w:val="0"/>
          <w:marTop w:val="0"/>
          <w:marBottom w:val="0"/>
          <w:divBdr>
            <w:top w:val="none" w:sz="0" w:space="0" w:color="auto"/>
            <w:left w:val="none" w:sz="0" w:space="0" w:color="auto"/>
            <w:bottom w:val="none" w:sz="0" w:space="0" w:color="auto"/>
            <w:right w:val="none" w:sz="0" w:space="0" w:color="auto"/>
          </w:divBdr>
        </w:div>
      </w:divsChild>
    </w:div>
    <w:div w:id="196215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ndbook.hspstandards.org/fr/sph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herestandards.org/fr/standards-humanitaires/le-partenariat-pour-les-standards-humanitair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arning@spherestandar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dium.com/@CRA1G/the-evolution-of-an-accidental-meme-ddc4e139e0e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ndbook.hspstandards.org/fr/sp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34256-13A7-4DED-B86E-D90D086CC865}">
  <ds:schemaRefs>
    <ds:schemaRef ds:uri="http://schemas.openxmlformats.org/officeDocument/2006/bibliography"/>
  </ds:schemaRefs>
</ds:datastoreItem>
</file>

<file path=customXml/itemProps2.xml><?xml version="1.0" encoding="utf-8"?>
<ds:datastoreItem xmlns:ds="http://schemas.openxmlformats.org/officeDocument/2006/customXml" ds:itemID="{97963741-95CA-4495-B3FC-A3F1A70D5FBB}">
  <ds:schemaRefs>
    <ds:schemaRef ds:uri="http://schemas.microsoft.com/office/2006/metadata/properties"/>
    <ds:schemaRef ds:uri="http://schemas.microsoft.com/office/infopath/2007/PartnerControls"/>
    <ds:schemaRef ds:uri="1355b3f0-e072-4ae3-b261-722c43fa6e26"/>
  </ds:schemaRefs>
</ds:datastoreItem>
</file>

<file path=customXml/itemProps3.xml><?xml version="1.0" encoding="utf-8"?>
<ds:datastoreItem xmlns:ds="http://schemas.openxmlformats.org/officeDocument/2006/customXml" ds:itemID="{6422FC6E-D1C7-4C90-8FA8-922659A71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DBDB3-D36C-43A1-B0B2-E724D25556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1032</Words>
  <Characters>5887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12</cp:revision>
  <dcterms:created xsi:type="dcterms:W3CDTF">2021-09-14T12:58:00Z</dcterms:created>
  <dcterms:modified xsi:type="dcterms:W3CDTF">2021-09-24T06:30:00Z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