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3C820533" w:rsidR="00B31B77" w:rsidRPr="00C1282B" w:rsidRDefault="00B31B77" w:rsidP="0097693B">
      <w:pPr>
        <w:pStyle w:val="Heading1"/>
        <w:spacing w:before="80" w:after="80"/>
        <w:rPr>
          <w:rFonts w:ascii="Open Sans" w:hAnsi="Open Sans" w:cs="Open Sans"/>
          <w:color w:val="00A885"/>
          <w:sz w:val="24"/>
          <w:szCs w:val="24"/>
        </w:rPr>
      </w:pPr>
      <w:r w:rsidRPr="00C1282B">
        <w:rPr>
          <w:rFonts w:ascii="Open Sans" w:hAnsi="Open Sans"/>
          <w:b/>
          <w:color w:val="00A885"/>
          <w:sz w:val="24"/>
          <w:szCs w:val="24"/>
        </w:rPr>
        <w:t>Hoja de documentación de</w:t>
      </w:r>
      <w:r w:rsidR="0044601A" w:rsidRPr="00C1282B">
        <w:rPr>
          <w:rFonts w:ascii="Open Sans" w:hAnsi="Open Sans"/>
          <w:b/>
          <w:color w:val="00A885"/>
          <w:sz w:val="24"/>
          <w:szCs w:val="24"/>
        </w:rPr>
        <w:t xml:space="preserve"> la</w:t>
      </w:r>
      <w:r w:rsidRPr="00C1282B">
        <w:rPr>
          <w:rFonts w:ascii="Open Sans" w:hAnsi="Open Sans"/>
          <w:b/>
          <w:color w:val="00A885"/>
          <w:sz w:val="24"/>
          <w:szCs w:val="24"/>
        </w:rPr>
        <w:t xml:space="preserve"> Actividad de aprendizaje </w:t>
      </w:r>
      <w:r w:rsidR="0044601A" w:rsidRPr="00C1282B">
        <w:rPr>
          <w:rFonts w:ascii="Open Sans" w:hAnsi="Open Sans"/>
          <w:b/>
          <w:color w:val="00A885"/>
          <w:sz w:val="24"/>
          <w:szCs w:val="24"/>
        </w:rPr>
        <w:t>de</w:t>
      </w:r>
      <w:r w:rsidR="00C1282B">
        <w:rPr>
          <w:rFonts w:ascii="Open Sans" w:hAnsi="Open Sans"/>
          <w:b/>
          <w:color w:val="00A885"/>
          <w:sz w:val="24"/>
          <w:szCs w:val="24"/>
        </w:rPr>
        <w:br/>
      </w:r>
      <w:r w:rsidRPr="00C1282B">
        <w:rPr>
          <w:rFonts w:ascii="Open Sans" w:hAnsi="Open Sans"/>
          <w:b/>
          <w:i/>
          <w:iCs/>
          <w:color w:val="00A885"/>
          <w:sz w:val="24"/>
          <w:szCs w:val="24"/>
        </w:rPr>
        <w:t>Normas vs. Objetivos</w:t>
      </w:r>
    </w:p>
    <w:p w14:paraId="35E9B466" w14:textId="44406F2D" w:rsidR="00B31B77" w:rsidRPr="0044601A" w:rsidRDefault="00B31B77" w:rsidP="0097693B">
      <w:pPr>
        <w:spacing w:before="80" w:after="80"/>
        <w:rPr>
          <w:rFonts w:ascii="Open Sans" w:hAnsi="Open Sans" w:cs="Open Sans"/>
          <w:color w:val="00A885"/>
          <w:sz w:val="23"/>
          <w:szCs w:val="23"/>
        </w:rPr>
      </w:pPr>
    </w:p>
    <w:p w14:paraId="3F93CF7E" w14:textId="42E479F2" w:rsidR="005917C3" w:rsidRPr="00C1282B" w:rsidRDefault="005917C3" w:rsidP="005917C3">
      <w:pPr>
        <w:pStyle w:val="Heading2"/>
        <w:spacing w:before="80" w:after="80"/>
        <w:rPr>
          <w:rFonts w:ascii="Open Sans" w:hAnsi="Open Sans" w:cs="Open Sans"/>
          <w:color w:val="00A885"/>
          <w:sz w:val="22"/>
          <w:szCs w:val="22"/>
        </w:rPr>
      </w:pPr>
      <w:r w:rsidRPr="00C1282B">
        <w:rPr>
          <w:rFonts w:ascii="Open Sans" w:hAnsi="Open Sans"/>
          <w:b/>
          <w:color w:val="00A885"/>
          <w:sz w:val="22"/>
          <w:szCs w:val="22"/>
        </w:rPr>
        <w:t>Antecedentes</w:t>
      </w:r>
    </w:p>
    <w:p w14:paraId="76E951A0" w14:textId="540FF5C0" w:rsidR="00E46B8A" w:rsidRPr="00C1282B" w:rsidRDefault="00972D4F" w:rsidP="0097693B">
      <w:pPr>
        <w:spacing w:before="80" w:after="80"/>
        <w:rPr>
          <w:rFonts w:ascii="Open Sans" w:hAnsi="Open Sans" w:cs="Open Sans"/>
          <w:color w:val="00A885"/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 xml:space="preserve">Esfera y los otros miembros de la </w:t>
      </w:r>
      <w:hyperlink r:id="rId10" w:history="1">
        <w:r w:rsidRPr="00C1282B">
          <w:rPr>
            <w:rStyle w:val="Hyperlink"/>
            <w:rFonts w:ascii="Open Sans" w:hAnsi="Open Sans"/>
            <w:sz w:val="21"/>
            <w:szCs w:val="21"/>
          </w:rPr>
          <w:t>Cooperación de Normas Humanitarias</w:t>
        </w:r>
        <w:r w:rsidR="004D7CDA" w:rsidRPr="00C1282B">
          <w:rPr>
            <w:rStyle w:val="FootnoteReference"/>
            <w:rFonts w:ascii="Open Sans" w:hAnsi="Open Sans" w:cs="Open Sans"/>
            <w:color w:val="000000"/>
            <w:sz w:val="21"/>
            <w:szCs w:val="21"/>
            <w:lang w:val="en-GB"/>
          </w:rPr>
          <w:footnoteReference w:id="1"/>
        </w:r>
      </w:hyperlink>
      <w:r w:rsidRPr="00C1282B">
        <w:rPr>
          <w:rFonts w:ascii="Open Sans" w:hAnsi="Open Sans"/>
          <w:color w:val="000000"/>
          <w:sz w:val="21"/>
          <w:szCs w:val="21"/>
        </w:rPr>
        <w:t xml:space="preserve"> (HSP) reconocen las siguientes definiciones de normas e indicadores (de </w:t>
      </w:r>
      <w:hyperlink r:id="rId11" w:anchor="ch002_002_001_002" w:history="1">
        <w:r w:rsidRPr="00C1282B">
          <w:rPr>
            <w:rStyle w:val="Hyperlink"/>
            <w:rFonts w:ascii="Open Sans" w:hAnsi="Open Sans"/>
            <w:sz w:val="21"/>
            <w:szCs w:val="21"/>
          </w:rPr>
          <w:t>La estructura de las normas</w:t>
        </w:r>
        <w:r w:rsidR="004D7CDA" w:rsidRPr="00C1282B">
          <w:rPr>
            <w:rStyle w:val="FootnoteReference"/>
            <w:rFonts w:ascii="Open Sans" w:hAnsi="Open Sans" w:cs="Open Sans"/>
            <w:color w:val="000000"/>
            <w:sz w:val="21"/>
            <w:szCs w:val="21"/>
            <w:lang w:val="en-GB"/>
          </w:rPr>
          <w:footnoteReference w:id="2"/>
        </w:r>
      </w:hyperlink>
      <w:r w:rsidRPr="00C1282B">
        <w:rPr>
          <w:rFonts w:ascii="Open Sans" w:hAnsi="Open Sans"/>
          <w:color w:val="000000"/>
          <w:sz w:val="21"/>
          <w:szCs w:val="21"/>
        </w:rPr>
        <w:t xml:space="preserve"> en la página 6 del Manual Esfera).</w:t>
      </w:r>
    </w:p>
    <w:p w14:paraId="74CA373C" w14:textId="019F1962" w:rsidR="00BB026D" w:rsidRPr="00C1282B" w:rsidRDefault="00BB026D" w:rsidP="0097693B">
      <w:pPr>
        <w:pStyle w:val="ListParagraph"/>
        <w:numPr>
          <w:ilvl w:val="0"/>
          <w:numId w:val="26"/>
        </w:numPr>
        <w:spacing w:before="80" w:after="80"/>
        <w:contextualSpacing w:val="0"/>
        <w:rPr>
          <w:rFonts w:ascii="Open Sans" w:hAnsi="Open Sans" w:cs="Open Sans"/>
          <w:sz w:val="21"/>
          <w:szCs w:val="21"/>
        </w:rPr>
      </w:pPr>
      <w:r w:rsidRPr="00C1282B">
        <w:rPr>
          <w:rFonts w:ascii="Open Sans" w:hAnsi="Open Sans"/>
          <w:b/>
          <w:sz w:val="21"/>
          <w:szCs w:val="21"/>
        </w:rPr>
        <w:t>Las normas</w:t>
      </w:r>
      <w:r w:rsidRPr="00C1282B">
        <w:rPr>
          <w:rFonts w:ascii="Open Sans" w:hAnsi="Open Sans"/>
          <w:sz w:val="21"/>
          <w:szCs w:val="21"/>
        </w:rPr>
        <w:t xml:space="preserve"> parten del principio del derecho a vivir con dignidad. Son generales y de carácter cualitativo, y establecen los niveles mínimos que deben alcanzarse en cualquier crisis. Sus equivalentes en la Norma Humanitaria Esencial (CHS) son los “compromisos” y los “criterios de calidad”.</w:t>
      </w:r>
    </w:p>
    <w:p w14:paraId="5E8ABC4F" w14:textId="65F4F5DF" w:rsidR="0043669C" w:rsidRPr="00C1282B" w:rsidRDefault="00094D59" w:rsidP="0097693B">
      <w:pPr>
        <w:pStyle w:val="NormalWeb"/>
        <w:numPr>
          <w:ilvl w:val="0"/>
          <w:numId w:val="26"/>
        </w:numPr>
        <w:spacing w:before="80" w:beforeAutospacing="0" w:after="80" w:afterAutospacing="0"/>
        <w:rPr>
          <w:rFonts w:ascii="Open Sans" w:hAnsi="Open Sans" w:cs="Open Sans"/>
          <w:color w:val="000000"/>
          <w:sz w:val="21"/>
          <w:szCs w:val="21"/>
        </w:rPr>
      </w:pPr>
      <w:r w:rsidRPr="00C1282B">
        <w:rPr>
          <w:rFonts w:ascii="Open Sans" w:hAnsi="Open Sans"/>
          <w:b/>
          <w:color w:val="000000"/>
          <w:sz w:val="21"/>
          <w:szCs w:val="21"/>
        </w:rPr>
        <w:t xml:space="preserve">Los indicadores clave </w:t>
      </w:r>
      <w:r w:rsidRPr="00C1282B">
        <w:rPr>
          <w:rFonts w:ascii="Open Sans" w:hAnsi="Open Sans"/>
          <w:color w:val="000000"/>
          <w:sz w:val="21"/>
          <w:szCs w:val="21"/>
        </w:rPr>
        <w:t xml:space="preserve">sirven de señal para medir si se han cumplido las normas. Ofrecen una forma de capturar los procesos y los resultados de los programas en comparación con la norma y durante el ciclo de vida de la respuesta. </w:t>
      </w:r>
      <w:r w:rsidRPr="00C1282B">
        <w:rPr>
          <w:rFonts w:ascii="Open Sans" w:hAnsi="Open Sans"/>
          <w:color w:val="000000"/>
          <w:sz w:val="21"/>
          <w:szCs w:val="21"/>
          <w:u w:val="single"/>
        </w:rPr>
        <w:t>Los requisitos cuantitativos mínimos son el mínimo nivel aceptable de logro de los indicadores y únicamente se incluyen cuando existe consenso sectorial sobre los mismos.</w:t>
      </w:r>
    </w:p>
    <w:p w14:paraId="1BAFDB4B" w14:textId="6D6A04F3" w:rsidR="00E46B8A" w:rsidRPr="00C1282B" w:rsidRDefault="00274B0F" w:rsidP="0097693B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>En la frase subrayada,</w:t>
      </w:r>
      <w:r w:rsidR="0044601A" w:rsidRPr="00C1282B">
        <w:rPr>
          <w:rFonts w:ascii="Open Sans" w:hAnsi="Open Sans"/>
          <w:color w:val="000000"/>
          <w:sz w:val="21"/>
          <w:szCs w:val="21"/>
        </w:rPr>
        <w:t xml:space="preserve"> la expresión </w:t>
      </w:r>
      <w:r w:rsidRPr="00C1282B">
        <w:rPr>
          <w:rFonts w:ascii="Open Sans" w:hAnsi="Open Sans"/>
          <w:color w:val="000000"/>
          <w:sz w:val="21"/>
          <w:szCs w:val="21"/>
        </w:rPr>
        <w:t xml:space="preserve">“requisitos cuantitativos mínimos” se refiere a los </w:t>
      </w:r>
      <w:r w:rsidRPr="00C1282B">
        <w:rPr>
          <w:rFonts w:ascii="Open Sans" w:hAnsi="Open Sans"/>
          <w:b/>
          <w:color w:val="000000"/>
          <w:sz w:val="21"/>
          <w:szCs w:val="21"/>
        </w:rPr>
        <w:t>objetivos</w:t>
      </w:r>
      <w:r w:rsidRPr="00C1282B">
        <w:rPr>
          <w:rFonts w:ascii="Open Sans" w:hAnsi="Open Sans"/>
          <w:color w:val="000000"/>
          <w:sz w:val="21"/>
          <w:szCs w:val="21"/>
        </w:rPr>
        <w:t xml:space="preserve"> que se presentan con algunos indicadores.</w:t>
      </w:r>
    </w:p>
    <w:p w14:paraId="35CCFF25" w14:textId="77777777" w:rsidR="00D51623" w:rsidRPr="0044601A" w:rsidRDefault="00D51623" w:rsidP="0097693B">
      <w:pPr>
        <w:pStyle w:val="NormalWeb"/>
        <w:spacing w:before="80" w:beforeAutospacing="0" w:after="80" w:afterAutospacing="0"/>
        <w:rPr>
          <w:rFonts w:ascii="Open Sans" w:hAnsi="Open Sans" w:cs="Open Sans"/>
          <w:sz w:val="23"/>
          <w:szCs w:val="23"/>
        </w:rPr>
      </w:pPr>
    </w:p>
    <w:p w14:paraId="7A244579" w14:textId="673E044C" w:rsidR="00B31B77" w:rsidRPr="00C1282B" w:rsidRDefault="00E052AA" w:rsidP="007101EF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2"/>
          <w:szCs w:val="22"/>
        </w:rPr>
      </w:pPr>
      <w:r w:rsidRPr="00C1282B">
        <w:rPr>
          <w:rFonts w:ascii="Open Sans" w:hAnsi="Open Sans"/>
          <w:b/>
          <w:color w:val="00A885"/>
          <w:sz w:val="22"/>
          <w:szCs w:val="22"/>
        </w:rPr>
        <w:t>Actividad de aprendizaje</w:t>
      </w:r>
    </w:p>
    <w:p w14:paraId="4A2D9C95" w14:textId="7B7A62D9" w:rsidR="007101EF" w:rsidRPr="00C1282B" w:rsidRDefault="007101EF" w:rsidP="007101EF">
      <w:pPr>
        <w:rPr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 xml:space="preserve">La actividad que usted acaba de completar fue diseñada para que pudiera explorar por sí mismo o misma la relación y las diferencias entre </w:t>
      </w:r>
      <w:r w:rsidRPr="00C1282B">
        <w:rPr>
          <w:rFonts w:ascii="Open Sans" w:hAnsi="Open Sans"/>
          <w:b/>
          <w:color w:val="000000"/>
          <w:sz w:val="21"/>
          <w:szCs w:val="21"/>
        </w:rPr>
        <w:t>normas</w:t>
      </w:r>
      <w:r w:rsidRPr="00C1282B">
        <w:rPr>
          <w:rFonts w:ascii="Open Sans" w:hAnsi="Open Sans"/>
          <w:color w:val="000000"/>
          <w:sz w:val="21"/>
          <w:szCs w:val="21"/>
        </w:rPr>
        <w:t xml:space="preserve"> y </w:t>
      </w:r>
      <w:r w:rsidRPr="00C1282B">
        <w:rPr>
          <w:rFonts w:ascii="Open Sans" w:hAnsi="Open Sans"/>
          <w:b/>
          <w:color w:val="000000"/>
          <w:sz w:val="21"/>
          <w:szCs w:val="21"/>
        </w:rPr>
        <w:t>objetivos</w:t>
      </w:r>
      <w:r w:rsidRPr="00C1282B">
        <w:rPr>
          <w:rFonts w:ascii="Open Sans" w:hAnsi="Open Sans"/>
          <w:color w:val="000000"/>
          <w:sz w:val="21"/>
          <w:szCs w:val="21"/>
        </w:rPr>
        <w:t xml:space="preserve">. Ahora que ya lo ha hecho, las definiciones que se presentan en el Manual y más arriba tendrán más sentido. </w:t>
      </w:r>
    </w:p>
    <w:p w14:paraId="49A6C64F" w14:textId="77777777" w:rsidR="007101EF" w:rsidRPr="0044601A" w:rsidRDefault="007101EF" w:rsidP="007101EF"/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4E35C4" w14:paraId="05064C0B" w14:textId="77777777" w:rsidTr="002334F0">
        <w:trPr>
          <w:trHeight w:val="109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7106E638" w:rsidR="001B4956" w:rsidRPr="004E35C4" w:rsidRDefault="00B31B77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3"/>
                <w:szCs w:val="23"/>
              </w:rPr>
            </w:pPr>
            <w:r>
              <w:rPr>
                <w:rFonts w:ascii="Open Sans Semibold" w:hAnsi="Open Sans Semibold"/>
                <w:color w:val="00A885"/>
                <w:sz w:val="23"/>
              </w:rPr>
              <w:t>Norma:</w:t>
            </w:r>
          </w:p>
          <w:p w14:paraId="599A06DE" w14:textId="02FC1659" w:rsidR="00B31B77" w:rsidRPr="004E35C4" w:rsidRDefault="00B31B77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sz w:val="23"/>
                <w:szCs w:val="23"/>
              </w:rPr>
            </w:pPr>
            <w:r>
              <w:rPr>
                <w:rFonts w:ascii="Open Sans" w:hAnsi="Open Sans"/>
                <w:sz w:val="23"/>
              </w:rPr>
              <w:t>Las personas pueden ver el bello paisaje de forma segura</w:t>
            </w:r>
            <w:r w:rsidR="00353D4D">
              <w:rPr>
                <w:rFonts w:ascii="Open Sans" w:hAnsi="Open Sans"/>
                <w:sz w:val="23"/>
              </w:rPr>
              <w:t>.</w:t>
            </w:r>
          </w:p>
        </w:tc>
      </w:tr>
      <w:tr w:rsidR="000D6A5C" w:rsidRPr="004E35C4" w14:paraId="3DE08910" w14:textId="77777777" w:rsidTr="00C1282B">
        <w:trPr>
          <w:trHeight w:val="1446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5037" w14:textId="77777777" w:rsidR="000D6A5C" w:rsidRPr="004E35C4" w:rsidRDefault="000D6A5C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3"/>
                <w:szCs w:val="23"/>
              </w:rPr>
            </w:pPr>
            <w:r>
              <w:rPr>
                <w:rFonts w:ascii="Open Sans Semibold" w:hAnsi="Open Sans Semibold"/>
                <w:color w:val="00A885"/>
                <w:sz w:val="23"/>
              </w:rPr>
              <w:t>Indicadores clave</w:t>
            </w:r>
          </w:p>
          <w:p w14:paraId="66D44A22" w14:textId="77777777" w:rsidR="000D6A5C" w:rsidRPr="004E35C4" w:rsidRDefault="000D6A5C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b/>
                <w:bCs/>
                <w:sz w:val="23"/>
                <w:szCs w:val="23"/>
              </w:rPr>
            </w:pPr>
            <w:r>
              <w:rPr>
                <w:rFonts w:ascii="Open Sans" w:hAnsi="Open Sans"/>
                <w:b/>
                <w:sz w:val="23"/>
              </w:rPr>
              <w:t>Número de cajas</w:t>
            </w:r>
          </w:p>
          <w:p w14:paraId="2E0CD8A9" w14:textId="415F6BCC" w:rsidR="000D6A5C" w:rsidRPr="004E35C4" w:rsidRDefault="000D6A5C" w:rsidP="005F0FEB">
            <w:pPr>
              <w:pStyle w:val="NormalWeb"/>
              <w:numPr>
                <w:ilvl w:val="0"/>
                <w:numId w:val="24"/>
              </w:numPr>
              <w:spacing w:before="80" w:beforeAutospacing="0" w:after="80" w:afterAutospacing="0"/>
              <w:ind w:left="615"/>
              <w:rPr>
                <w:rFonts w:ascii="Open Sans Semibold" w:hAnsi="Open Sans Semibold" w:cs="Open Sans Semibold"/>
                <w:color w:val="00A885"/>
                <w:sz w:val="23"/>
                <w:szCs w:val="23"/>
              </w:rPr>
            </w:pPr>
            <w:r>
              <w:rPr>
                <w:rFonts w:ascii="Open Sans" w:hAnsi="Open Sans"/>
                <w:sz w:val="23"/>
              </w:rPr>
              <w:t>1 por persona</w:t>
            </w:r>
          </w:p>
        </w:tc>
      </w:tr>
    </w:tbl>
    <w:p w14:paraId="485BE02C" w14:textId="77777777" w:rsidR="000736D0" w:rsidRDefault="000736D0" w:rsidP="000736D0">
      <w:pPr>
        <w:pStyle w:val="NormalWeb"/>
        <w:spacing w:before="80" w:beforeAutospacing="0" w:after="80" w:afterAutospacing="0"/>
        <w:rPr>
          <w:rFonts w:ascii="Open Sans" w:hAnsi="Open Sans" w:cs="Open Sans"/>
          <w:b/>
          <w:bCs/>
          <w:color w:val="000000"/>
          <w:sz w:val="23"/>
          <w:szCs w:val="23"/>
          <w:lang w:val="en-GB"/>
        </w:rPr>
      </w:pPr>
    </w:p>
    <w:p w14:paraId="44417405" w14:textId="3EC1D13B" w:rsidR="000736D0" w:rsidRPr="00C1282B" w:rsidRDefault="000736D0" w:rsidP="000736D0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2"/>
          <w:szCs w:val="22"/>
        </w:rPr>
      </w:pPr>
      <w:r w:rsidRPr="00C1282B">
        <w:rPr>
          <w:rFonts w:ascii="Open Sans" w:hAnsi="Open Sans"/>
          <w:b/>
          <w:color w:val="00A885"/>
          <w:sz w:val="22"/>
          <w:szCs w:val="22"/>
        </w:rPr>
        <w:t>Aportes clave</w:t>
      </w:r>
      <w:r w:rsidR="0074476C" w:rsidRPr="00C1282B">
        <w:rPr>
          <w:rFonts w:ascii="Open Sans" w:hAnsi="Open Sans"/>
          <w:b/>
          <w:color w:val="00A885"/>
          <w:sz w:val="22"/>
          <w:szCs w:val="22"/>
        </w:rPr>
        <w:t>s</w:t>
      </w:r>
    </w:p>
    <w:p w14:paraId="4155C5B2" w14:textId="4E2F6379" w:rsidR="000736D0" w:rsidRPr="00C1282B" w:rsidRDefault="000736D0" w:rsidP="000736D0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 xml:space="preserve">Al tratar de cumplir </w:t>
      </w:r>
      <w:r w:rsidRPr="00C1282B">
        <w:rPr>
          <w:rFonts w:ascii="Open Sans" w:hAnsi="Open Sans"/>
          <w:b/>
          <w:bCs/>
          <w:color w:val="000000"/>
          <w:sz w:val="21"/>
          <w:szCs w:val="21"/>
        </w:rPr>
        <w:t>objetivos</w:t>
      </w:r>
      <w:r w:rsidRPr="00C1282B">
        <w:rPr>
          <w:rFonts w:ascii="Open Sans" w:hAnsi="Open Sans"/>
          <w:color w:val="000000"/>
          <w:sz w:val="21"/>
          <w:szCs w:val="21"/>
        </w:rPr>
        <w:t xml:space="preserve"> en lugar de </w:t>
      </w:r>
      <w:r w:rsidRPr="00C1282B">
        <w:rPr>
          <w:rFonts w:ascii="Open Sans" w:hAnsi="Open Sans"/>
          <w:b/>
          <w:bCs/>
          <w:color w:val="000000"/>
          <w:sz w:val="21"/>
          <w:szCs w:val="21"/>
        </w:rPr>
        <w:t>normas</w:t>
      </w:r>
      <w:r w:rsidRPr="00C1282B">
        <w:rPr>
          <w:rFonts w:ascii="Open Sans" w:hAnsi="Open Sans"/>
          <w:color w:val="000000"/>
          <w:sz w:val="21"/>
          <w:szCs w:val="21"/>
        </w:rPr>
        <w:t xml:space="preserve"> se asume que todas las personas nacen con igualdad de </w:t>
      </w:r>
      <w:r w:rsidRPr="00C1282B">
        <w:rPr>
          <w:rFonts w:ascii="Open Sans" w:hAnsi="Open Sans"/>
          <w:b/>
          <w:color w:val="000000"/>
          <w:sz w:val="21"/>
          <w:szCs w:val="21"/>
        </w:rPr>
        <w:t>necesidades</w:t>
      </w:r>
      <w:r w:rsidRPr="00C1282B">
        <w:rPr>
          <w:rFonts w:ascii="Open Sans" w:hAnsi="Open Sans"/>
          <w:color w:val="000000"/>
          <w:sz w:val="21"/>
          <w:szCs w:val="21"/>
        </w:rPr>
        <w:t xml:space="preserve">, en lugar de igualdad de </w:t>
      </w:r>
      <w:r w:rsidRPr="00C1282B">
        <w:rPr>
          <w:rFonts w:ascii="Open Sans" w:hAnsi="Open Sans"/>
          <w:b/>
          <w:color w:val="000000"/>
          <w:sz w:val="21"/>
          <w:szCs w:val="21"/>
        </w:rPr>
        <w:t>derechos</w:t>
      </w:r>
      <w:r w:rsidRPr="00C1282B">
        <w:rPr>
          <w:rFonts w:ascii="Open Sans" w:hAnsi="Open Sans"/>
          <w:color w:val="000000"/>
          <w:sz w:val="21"/>
          <w:szCs w:val="21"/>
        </w:rPr>
        <w:t>, lo cual es un error potencialmente dañino.</w:t>
      </w:r>
    </w:p>
    <w:p w14:paraId="5DC22FC8" w14:textId="2D078063" w:rsidR="003D5C0E" w:rsidRPr="00C1282B" w:rsidRDefault="00FE5AAF" w:rsidP="00E052AA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 xml:space="preserve">Siempre es necesario tener en cuenta el </w:t>
      </w:r>
      <w:r w:rsidRPr="00C1282B">
        <w:rPr>
          <w:rFonts w:ascii="Open Sans" w:hAnsi="Open Sans"/>
          <w:b/>
          <w:color w:val="000000"/>
          <w:sz w:val="21"/>
          <w:szCs w:val="21"/>
        </w:rPr>
        <w:t>contexto</w:t>
      </w:r>
      <w:r w:rsidRPr="00C1282B">
        <w:rPr>
          <w:rFonts w:ascii="Open Sans" w:hAnsi="Open Sans"/>
          <w:color w:val="000000"/>
          <w:sz w:val="21"/>
          <w:szCs w:val="21"/>
        </w:rPr>
        <w:t xml:space="preserve">, incluidas las </w:t>
      </w:r>
      <w:r w:rsidRPr="00C1282B">
        <w:rPr>
          <w:rFonts w:ascii="Open Sans" w:hAnsi="Open Sans"/>
          <w:b/>
          <w:color w:val="000000"/>
          <w:sz w:val="21"/>
          <w:szCs w:val="21"/>
        </w:rPr>
        <w:t>necesidades, capacidades y vulnerabilidades</w:t>
      </w:r>
      <w:r w:rsidRPr="00C1282B">
        <w:rPr>
          <w:rFonts w:ascii="Open Sans" w:hAnsi="Open Sans"/>
          <w:color w:val="000000"/>
          <w:sz w:val="21"/>
          <w:szCs w:val="21"/>
        </w:rPr>
        <w:t xml:space="preserve"> de las personas a las que está intentando ayudar.</w:t>
      </w:r>
    </w:p>
    <w:p w14:paraId="13D51163" w14:textId="3C0F223A" w:rsidR="00E052AA" w:rsidRPr="00C1282B" w:rsidRDefault="00455D58" w:rsidP="00E052AA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1"/>
          <w:szCs w:val="21"/>
        </w:rPr>
      </w:pPr>
      <w:r w:rsidRPr="00C1282B">
        <w:rPr>
          <w:rFonts w:ascii="Open Sans" w:hAnsi="Open Sans"/>
          <w:color w:val="000000"/>
          <w:sz w:val="21"/>
          <w:szCs w:val="21"/>
        </w:rPr>
        <w:t xml:space="preserve">Las personas afectadas por crisis deben </w:t>
      </w:r>
      <w:r w:rsidRPr="00C1282B">
        <w:rPr>
          <w:rFonts w:ascii="Open Sans" w:hAnsi="Open Sans"/>
          <w:b/>
          <w:color w:val="000000"/>
          <w:sz w:val="21"/>
          <w:szCs w:val="21"/>
        </w:rPr>
        <w:t>participar activamente</w:t>
      </w:r>
      <w:r w:rsidRPr="00C1282B">
        <w:rPr>
          <w:rFonts w:ascii="Open Sans" w:hAnsi="Open Sans"/>
          <w:color w:val="000000"/>
          <w:sz w:val="21"/>
          <w:szCs w:val="21"/>
        </w:rPr>
        <w:t xml:space="preserve"> en cada etapa de la respuesta. </w:t>
      </w:r>
    </w:p>
    <w:sectPr w:rsidR="00E052AA" w:rsidRPr="00C1282B" w:rsidSect="00C1282B">
      <w:pgSz w:w="11909" w:h="16834" w:code="9"/>
      <w:pgMar w:top="9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2E6F1" w14:textId="77777777" w:rsidR="00C50A8A" w:rsidRDefault="00C50A8A" w:rsidP="004D7CDA">
      <w:r>
        <w:separator/>
      </w:r>
    </w:p>
  </w:endnote>
  <w:endnote w:type="continuationSeparator" w:id="0">
    <w:p w14:paraId="6CFB1DF7" w14:textId="77777777" w:rsidR="00C50A8A" w:rsidRDefault="00C50A8A" w:rsidP="004D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50393" w14:textId="77777777" w:rsidR="00C50A8A" w:rsidRDefault="00C50A8A" w:rsidP="004D7CDA">
      <w:r>
        <w:separator/>
      </w:r>
    </w:p>
  </w:footnote>
  <w:footnote w:type="continuationSeparator" w:id="0">
    <w:p w14:paraId="074D5052" w14:textId="77777777" w:rsidR="00C50A8A" w:rsidRDefault="00C50A8A" w:rsidP="004D7CDA">
      <w:r>
        <w:continuationSeparator/>
      </w:r>
    </w:p>
  </w:footnote>
  <w:footnote w:id="1">
    <w:p w14:paraId="1E7C7841" w14:textId="09559D91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https://www.spherestandards.org/es/normas-humanitarias/cooperacion-de-normas-humanitarias/</w:t>
      </w:r>
    </w:p>
  </w:footnote>
  <w:footnote w:id="2">
    <w:p w14:paraId="4F78AEA5" w14:textId="305AAD91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https://handbook.hspstandards.org/es/sphere/#ch002_002_001_002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B1B70"/>
    <w:multiLevelType w:val="hybridMultilevel"/>
    <w:tmpl w:val="78806D1A"/>
    <w:lvl w:ilvl="0" w:tplc="578C14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F3E4C"/>
    <w:multiLevelType w:val="hybridMultilevel"/>
    <w:tmpl w:val="3456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15"/>
  </w:num>
  <w:num w:numId="5">
    <w:abstractNumId w:val="4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lowerRoman"/>
        <w:lvlText w:val="%1."/>
        <w:lvlJc w:val="right"/>
      </w:lvl>
    </w:lvlOverride>
  </w:num>
  <w:num w:numId="11">
    <w:abstractNumId w:val="11"/>
  </w:num>
  <w:num w:numId="12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1"/>
    <w:lvlOverride w:ilvl="0">
      <w:lvl w:ilvl="0" w:tplc="7F96027C">
        <w:numFmt w:val="lowerRoman"/>
        <w:lvlText w:val="%1."/>
        <w:lvlJc w:val="right"/>
      </w:lvl>
    </w:lvlOverride>
    <w:lvlOverride w:ilvl="1">
      <w:lvl w:ilvl="1" w:tplc="CD76A5D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020831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0641EC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A1A7E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18EC3C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062E8B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92C9C6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FB2A2A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lowerLetter"/>
        <w:lvlText w:val="%1."/>
        <w:lvlJc w:val="left"/>
      </w:lvl>
    </w:lvlOverride>
  </w:num>
  <w:num w:numId="17">
    <w:abstractNumId w:val="6"/>
  </w:num>
  <w:num w:numId="18">
    <w:abstractNumId w:val="10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3"/>
  </w:num>
  <w:num w:numId="21">
    <w:abstractNumId w:val="8"/>
  </w:num>
  <w:num w:numId="22">
    <w:abstractNumId w:val="23"/>
  </w:num>
  <w:num w:numId="23">
    <w:abstractNumId w:val="5"/>
  </w:num>
  <w:num w:numId="24">
    <w:abstractNumId w:val="2"/>
  </w:num>
  <w:num w:numId="25">
    <w:abstractNumId w:val="14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A2"/>
    <w:rsid w:val="00017C37"/>
    <w:rsid w:val="00020A92"/>
    <w:rsid w:val="00040566"/>
    <w:rsid w:val="0004408D"/>
    <w:rsid w:val="000736D0"/>
    <w:rsid w:val="00094D59"/>
    <w:rsid w:val="000A4A3D"/>
    <w:rsid w:val="000D6A5C"/>
    <w:rsid w:val="00112545"/>
    <w:rsid w:val="00122934"/>
    <w:rsid w:val="00183EFA"/>
    <w:rsid w:val="00184A33"/>
    <w:rsid w:val="00192467"/>
    <w:rsid w:val="001A14F7"/>
    <w:rsid w:val="001A30F1"/>
    <w:rsid w:val="001B4956"/>
    <w:rsid w:val="001F19F8"/>
    <w:rsid w:val="001F6C9E"/>
    <w:rsid w:val="002334F0"/>
    <w:rsid w:val="00254791"/>
    <w:rsid w:val="00274B0F"/>
    <w:rsid w:val="002807E8"/>
    <w:rsid w:val="00282240"/>
    <w:rsid w:val="002A4976"/>
    <w:rsid w:val="002B1A2B"/>
    <w:rsid w:val="002E1A9D"/>
    <w:rsid w:val="002F1FC2"/>
    <w:rsid w:val="00312E43"/>
    <w:rsid w:val="00330B95"/>
    <w:rsid w:val="00341BBD"/>
    <w:rsid w:val="00353D4D"/>
    <w:rsid w:val="003B4E97"/>
    <w:rsid w:val="003C4FE3"/>
    <w:rsid w:val="003D317C"/>
    <w:rsid w:val="003D5C0E"/>
    <w:rsid w:val="0040078F"/>
    <w:rsid w:val="0041370C"/>
    <w:rsid w:val="0043669C"/>
    <w:rsid w:val="0044601A"/>
    <w:rsid w:val="0045569C"/>
    <w:rsid w:val="00455D58"/>
    <w:rsid w:val="004822C3"/>
    <w:rsid w:val="004924BE"/>
    <w:rsid w:val="004A0528"/>
    <w:rsid w:val="004D7CDA"/>
    <w:rsid w:val="004E35C4"/>
    <w:rsid w:val="0050467C"/>
    <w:rsid w:val="00512F06"/>
    <w:rsid w:val="00513C5E"/>
    <w:rsid w:val="005738F8"/>
    <w:rsid w:val="005917C3"/>
    <w:rsid w:val="00594D8C"/>
    <w:rsid w:val="005C22CC"/>
    <w:rsid w:val="005C42B2"/>
    <w:rsid w:val="005D138E"/>
    <w:rsid w:val="005E690D"/>
    <w:rsid w:val="005F0FEB"/>
    <w:rsid w:val="0063792F"/>
    <w:rsid w:val="006570ED"/>
    <w:rsid w:val="006C268F"/>
    <w:rsid w:val="00700074"/>
    <w:rsid w:val="007101EF"/>
    <w:rsid w:val="00715800"/>
    <w:rsid w:val="0074476C"/>
    <w:rsid w:val="00794810"/>
    <w:rsid w:val="007B1E74"/>
    <w:rsid w:val="007B3CCB"/>
    <w:rsid w:val="007C4409"/>
    <w:rsid w:val="007E76D4"/>
    <w:rsid w:val="00806644"/>
    <w:rsid w:val="0081407D"/>
    <w:rsid w:val="00822B07"/>
    <w:rsid w:val="00856908"/>
    <w:rsid w:val="008633AC"/>
    <w:rsid w:val="0086650C"/>
    <w:rsid w:val="00875F67"/>
    <w:rsid w:val="008A24EE"/>
    <w:rsid w:val="008C24E5"/>
    <w:rsid w:val="008F11D0"/>
    <w:rsid w:val="00906DF6"/>
    <w:rsid w:val="00912412"/>
    <w:rsid w:val="00940634"/>
    <w:rsid w:val="00950647"/>
    <w:rsid w:val="00970B41"/>
    <w:rsid w:val="00971028"/>
    <w:rsid w:val="00972D4F"/>
    <w:rsid w:val="00973FF3"/>
    <w:rsid w:val="0097693B"/>
    <w:rsid w:val="009A59A2"/>
    <w:rsid w:val="009A6FF9"/>
    <w:rsid w:val="009C6BE0"/>
    <w:rsid w:val="009D77C4"/>
    <w:rsid w:val="009E77BD"/>
    <w:rsid w:val="009F367C"/>
    <w:rsid w:val="00A15D04"/>
    <w:rsid w:val="00A31260"/>
    <w:rsid w:val="00A35680"/>
    <w:rsid w:val="00A36C35"/>
    <w:rsid w:val="00AB026F"/>
    <w:rsid w:val="00AC1AD5"/>
    <w:rsid w:val="00AC3166"/>
    <w:rsid w:val="00AC711A"/>
    <w:rsid w:val="00AC7605"/>
    <w:rsid w:val="00AD1AF5"/>
    <w:rsid w:val="00B2067B"/>
    <w:rsid w:val="00B24FB8"/>
    <w:rsid w:val="00B31B77"/>
    <w:rsid w:val="00B40497"/>
    <w:rsid w:val="00B431B2"/>
    <w:rsid w:val="00B878A2"/>
    <w:rsid w:val="00B97D5F"/>
    <w:rsid w:val="00BB026D"/>
    <w:rsid w:val="00BC439C"/>
    <w:rsid w:val="00BD04B3"/>
    <w:rsid w:val="00BE1B22"/>
    <w:rsid w:val="00C04196"/>
    <w:rsid w:val="00C1282B"/>
    <w:rsid w:val="00C50A8A"/>
    <w:rsid w:val="00C50CF1"/>
    <w:rsid w:val="00C667E4"/>
    <w:rsid w:val="00CA7A5F"/>
    <w:rsid w:val="00CD3909"/>
    <w:rsid w:val="00CD71DB"/>
    <w:rsid w:val="00CE0BD1"/>
    <w:rsid w:val="00CE303F"/>
    <w:rsid w:val="00CE70F7"/>
    <w:rsid w:val="00D10177"/>
    <w:rsid w:val="00D24993"/>
    <w:rsid w:val="00D51623"/>
    <w:rsid w:val="00D77784"/>
    <w:rsid w:val="00DA0C90"/>
    <w:rsid w:val="00DA17CF"/>
    <w:rsid w:val="00DA2E67"/>
    <w:rsid w:val="00DA53BE"/>
    <w:rsid w:val="00DD222B"/>
    <w:rsid w:val="00E052AA"/>
    <w:rsid w:val="00E46B8A"/>
    <w:rsid w:val="00E6000F"/>
    <w:rsid w:val="00EE34B2"/>
    <w:rsid w:val="00F06C0B"/>
    <w:rsid w:val="00F16026"/>
    <w:rsid w:val="00F30A17"/>
    <w:rsid w:val="00F7553B"/>
    <w:rsid w:val="00F771BA"/>
    <w:rsid w:val="00F86F96"/>
    <w:rsid w:val="00FC3BA3"/>
    <w:rsid w:val="00FD6F52"/>
    <w:rsid w:val="00FE5399"/>
    <w:rsid w:val="00FE5AAF"/>
    <w:rsid w:val="00FE754C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7C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CD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7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andbook.hspstandards.org/es/spher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pherestandards.org/es/normas-humanitarias/cooperacion-de-normas-humanitaria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B159860B-7774-4900-BAAC-608AC9CC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146</cp:revision>
  <dcterms:created xsi:type="dcterms:W3CDTF">2021-07-14T14:19:00Z</dcterms:created>
  <dcterms:modified xsi:type="dcterms:W3CDTF">2021-09-24T06:57:00Z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